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6Ψ2Ν46ΜΠ3Ζ-ΦΩ1</w:t>
      </w:r>
    </w:p>
    <w:p>
      <w:pPr>
        <w:pStyle w:val="PreambelText"/>
        <w:spacing w:before="240" w:after="240"/>
        <w:rPr>
          <w:lang w:val="el" w:eastAsia="el"/>
        </w:rPr>
      </w:pPr>
      <w:r>
        <w:rPr>
          <w:b/>
          <w:bCs/>
          <w:lang w:val="el" w:eastAsia="el"/>
        </w:rPr>
        <w:t>Αθήνα, 24/09/2024</w:t>
      </w:r>
    </w:p>
    <w:p>
      <w:pPr>
        <w:pStyle w:val="PreambelText"/>
        <w:spacing w:before="240" w:after="240"/>
        <w:rPr>
          <w:lang w:val="el" w:eastAsia="el"/>
        </w:rPr>
      </w:pPr>
      <w:r>
        <w:rPr>
          <w:b/>
          <w:bCs/>
          <w:lang w:val="el" w:eastAsia="el"/>
        </w:rPr>
        <w:t>Ο. 3048</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-ΔΙΕΥΘΥΝΣΗ ΑΝΑΠΤΥΞΗΣ ΦΟΡΟΛΟΓΙΚΩΝ ΕΦΑΡΜΟΓΩΝ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 78 2131410139-130-134 </w:t>
      </w:r>
      <w:hyperlink r:id="rId4" w:history="1">
        <w:r>
          <w:rPr>
            <w:rStyle w:val="Hyperlink"/>
            <w:b/>
            <w:bCs/>
            <w:color w:val="0000EE"/>
            <w:u w:color="0000EE"/>
            <w:lang w:val="el" w:eastAsia="el"/>
          </w:rPr>
          <w:t>deef@aade.gr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Περί της βεβαίωσης των τελών κυκλοφορίας έτους 2019.</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Παροχή οδηγιών σχετικά με τη βεβαίωση των τελών κυκλοφορίας του έτους 2019.</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παρέχονται οδηγίες σχετικά με τη διαδικασία βεβαίωσης των τελών κυκλοφορίας του έτους 2019, καθώς και για τις ενέργειες των φορολογουμένων με σκοπό να διορθωθεί η εικόνα των οχημάτων τους στο Πληροφοριακό Σύστημα των Οχημάτων.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Αφορά τους ιδιοκτήτες/κατόχους οχημάτων και τις Φορολογικές Υπηρεσίες.</w:t>
      </w:r>
    </w:p>
    <w:p>
      <w:pPr>
        <w:spacing w:before="240" w:after="240"/>
        <w:rPr>
          <w:lang w:val="el" w:eastAsia="el"/>
        </w:rPr>
      </w:pPr>
      <w:r>
        <w:rPr>
          <w:b/>
          <w:bCs/>
          <w:u w:val="single"/>
          <w:lang w:val="el" w:eastAsia="el"/>
        </w:rPr>
        <w:t>Με την παρούσα παρέχονται οδηγίες για την βεβαίωση των τελών κυκλοφορίας και των προστίμων για το 2019. Εξαιρετικά, η βεβαίωση των τελών κυκλοφορίας έτους 2019 θα αρχίσει στις 27/11/2024 και θα ολοκληρωθεί μέχρι 03/12/2024. Θα πραγματοποιηθεί σύμφωνα με την ΑΥΟ ΠΟΛ. 1055/2013</w:t>
      </w:r>
    </w:p>
    <w:p>
      <w:pPr>
        <w:spacing w:before="240" w:after="240"/>
        <w:rPr>
          <w:lang w:val="el" w:eastAsia="el"/>
        </w:rPr>
      </w:pPr>
      <w:r>
        <w:rPr>
          <w:b/>
          <w:bCs/>
          <w:u w:val="single"/>
          <w:lang w:val="el" w:eastAsia="el"/>
        </w:rPr>
        <w:t>(Β΄881), βάσει της οποίας η βεβαίωση θα γίνει από τη Γεν. Δ/νση Ηλεκτρονικής Διακυβέρνησης, για λογαριασμό των Φορολογικών Υπηρεσιών.</w:t>
      </w:r>
    </w:p>
    <w:p>
      <w:pPr>
        <w:spacing w:before="240" w:after="240"/>
        <w:rPr>
          <w:lang w:val="el" w:eastAsia="el"/>
        </w:rPr>
      </w:pPr>
      <w:r>
        <w:rPr>
          <w:b/>
          <w:bCs/>
          <w:u w:val="single"/>
          <w:lang w:val="el" w:eastAsia="el"/>
        </w:rPr>
        <w:t>Α. Η βεβαίωση καταλαμβάνει οχήματα που έχουν δηλωθεί στο Ε1 εξαιρουμένων των οχημάτων που ανήκουν σε άτομα με αναπηρία σύμφωνα με την εγκύκλιο Ε. 2014/2023 καθώς και των αποβιωσάντων.</w:t>
      </w:r>
    </w:p>
    <w:p>
      <w:pPr>
        <w:spacing w:before="240" w:after="240"/>
        <w:rPr>
          <w:lang w:val="el" w:eastAsia="el"/>
        </w:rPr>
      </w:pPr>
      <w:r>
        <w:rPr>
          <w:b/>
          <w:bCs/>
          <w:u w:val="single"/>
          <w:lang w:val="el" w:eastAsia="el"/>
        </w:rPr>
        <w:t>Α.1 Ενέργειες ΓΔΗΛΕΔ:</w:t>
      </w:r>
    </w:p>
    <w:p>
      <w:pPr>
        <w:spacing w:before="240" w:after="240"/>
        <w:rPr>
          <w:lang w:val="el" w:eastAsia="el"/>
        </w:rPr>
      </w:pPr>
      <w:r>
        <w:rPr>
          <w:u w:val="single"/>
          <w:lang w:val="el" w:eastAsia="el"/>
        </w:rPr>
        <w:t xml:space="preserve">1. </w:t>
      </w:r>
      <w:r>
        <w:rPr>
          <w:b/>
          <w:bCs/>
          <w:u w:val="single"/>
          <w:lang w:val="el" w:eastAsia="el"/>
        </w:rPr>
        <w:t>Η ΔΑΦΕ, από 16/09/2024 έως 30/9/2024, αποστέλλει μήνυμα ηλεκτρονικού ταχυδρομείου στους ιδιοκτήτες των οχημάτων πλην των εξαιρουμένων με οφειλές από τέλη κυκλοφορίας για το 2019 και τους ενημερώνει ότι υφίσταται δυνατότητα να δηλώσουν μέχρι 31/10/2024 μέσω της εφαρμογής myCar την πραγματική κατάσταση του οχήματός τους υποβάλλοντας το κατάλληλο δικαιολογητικό προκειμένου να εκπέσουν των τελών κυκλοφορίας.</w:t>
      </w:r>
    </w:p>
    <w:p>
      <w:pPr>
        <w:spacing w:before="240" w:after="240"/>
        <w:rPr>
          <w:lang w:val="el" w:eastAsia="el"/>
        </w:rPr>
      </w:pPr>
      <w:r>
        <w:rPr>
          <w:b/>
          <w:bCs/>
          <w:u w:val="single"/>
          <w:lang w:val="el" w:eastAsia="el"/>
        </w:rPr>
        <w:t>Με την αποστολή των μηνυμάτων θα ανοίξει η εφαρμογή στο myCar με τα οχήματα που εμφανίζουν οφειλές από τέλη κυκλοφορίας έτους 2019 ανά ιδιοκτήτη. Η είσοδος στην εν λόγω εφαρμογή πραγματοποιείται με κωδικούς Taxisnet. Μέσω της εφαρμογής, δηλώνεται από τον ιδιοκτήτη η κατάσταση του οχήματος για το έτος οφειλής ή και για επόμενα έτη (πχ κλεμμένο, διαγραμμένο, σε ακινησία, απαλλασσόμενο, κλπ) και συνυποβάλλεται το κατάλληλο δικαιολογητικό.</w:t>
      </w:r>
    </w:p>
    <w:p>
      <w:pPr>
        <w:spacing w:before="240" w:after="240"/>
        <w:rPr>
          <w:lang w:val="el" w:eastAsia="el"/>
        </w:rPr>
      </w:pPr>
      <w:r>
        <w:rPr>
          <w:b/>
          <w:bCs/>
          <w:u w:val="single"/>
          <w:lang w:val="el" w:eastAsia="el"/>
        </w:rPr>
        <w:t>Την πληροφόρηση για την κατάσταση του οχήματος βάσει της δήλωσης των ιδιοκτητών λαμβάνουν οι Φορολογικές Υπηρεσίες (Δ.Ο.Υ./ΚΕΦΟΔΕ) σε πραγματικό χρόνο.</w:t>
      </w:r>
    </w:p>
    <w:p>
      <w:pPr>
        <w:spacing w:before="240" w:after="240"/>
        <w:rPr>
          <w:lang w:val="el" w:eastAsia="el"/>
        </w:rPr>
      </w:pPr>
      <w:r>
        <w:rPr>
          <w:b/>
          <w:bCs/>
          <w:u w:val="single"/>
          <w:lang w:val="el" w:eastAsia="el"/>
        </w:rPr>
        <w:t>Η εφαρμογή θα παραμείνει ανοιχτή μέχρι και 31/10/2024.</w:t>
      </w:r>
    </w:p>
    <w:p>
      <w:pPr>
        <w:spacing w:before="240" w:after="240"/>
        <w:rPr>
          <w:lang w:val="el" w:eastAsia="el"/>
        </w:rPr>
      </w:pPr>
      <w:r>
        <w:rPr>
          <w:u w:val="single"/>
          <w:lang w:val="el" w:eastAsia="el"/>
        </w:rPr>
        <w:t xml:space="preserve">2. </w:t>
      </w:r>
      <w:r>
        <w:rPr>
          <w:b/>
          <w:bCs/>
          <w:u w:val="single"/>
          <w:lang w:val="el" w:eastAsia="el"/>
        </w:rPr>
        <w:t>Για τις περιπτώσεις που δεν θα καταστεί δυνατή η ειδοποίηση των φορολογούμενων κεντρικά, θα τεθεί στη διάθεση των Δ.Ο.Υ. / ΚΕΦΟΔΕ νέα οθόνη στο Π.Σ.Ο, με στοιχεία αυτών, προκειμένου να προβούν στην ειδοποίηση τους μέσω ταχυδρομείου (συστημένες επιστολές).</w:t>
      </w:r>
    </w:p>
    <w:p>
      <w:pPr>
        <w:spacing w:before="240" w:after="240"/>
        <w:rPr>
          <w:lang w:val="el" w:eastAsia="el"/>
        </w:rPr>
      </w:pPr>
      <w:r>
        <w:rPr>
          <w:b/>
          <w:bCs/>
          <w:u w:val="single"/>
          <w:lang w:val="el" w:eastAsia="el"/>
        </w:rPr>
        <w:t>Α.2 Ενέργειες φορολογουμένων</w:t>
      </w:r>
    </w:p>
    <w:p>
      <w:pPr>
        <w:spacing w:before="240" w:after="240"/>
        <w:rPr>
          <w:lang w:val="el" w:eastAsia="el"/>
        </w:rPr>
      </w:pPr>
      <w:r>
        <w:rPr>
          <w:b/>
          <w:bCs/>
          <w:u w:val="single"/>
          <w:lang w:val="el" w:eastAsia="el"/>
        </w:rPr>
        <w:t>Οι ιδιοκτήτες των οχημάτων που εμφανίζουν οφειλές τελών κυκλοφορίας έτους 2019, εισέρχονται έως 31/10/2024, με τους κωδικούς Taxisnet στην εφαρμογή myCar και δηλώνουν την κατάσταση στην οποία βρίσκεται το όχημά τους για το έτος οφειλής ή/και επόμενα έτη επισυνάπτοντας το σχετικό δικαιολογητικό που αποδεικνύει τη μη οφειλή των τελών κυκλοφορίας του έτους αυτού.</w:t>
      </w:r>
    </w:p>
    <w:p>
      <w:pPr>
        <w:spacing w:before="240" w:after="240"/>
        <w:rPr>
          <w:lang w:val="el" w:eastAsia="el"/>
        </w:rPr>
      </w:pPr>
      <w:r>
        <w:rPr>
          <w:b/>
          <w:bCs/>
          <w:u w:val="single"/>
          <w:lang w:val="el" w:eastAsia="el"/>
        </w:rPr>
        <w:t>Μετά την 31/10/2024 οι ιδιοκτήτες δύνανται μέσω της εφαρμογής «Τα Αιτήματά μου», να δηλώνουν τον λόγο μη οφειλής τελών κυκλοφορίας επισυνάπτοντας τα δικαιολογητικά που αποδεικνύουν το γεγονός, χωρίς αυτή τους η ενέργεια να ανακόπτει τη διαδικασία της βεβαίωσης.</w:t>
      </w:r>
    </w:p>
    <w:p>
      <w:pPr>
        <w:spacing w:before="240" w:after="240"/>
        <w:rPr>
          <w:lang w:val="el" w:eastAsia="el"/>
        </w:rPr>
      </w:pPr>
      <w:r>
        <w:rPr>
          <w:b/>
          <w:bCs/>
          <w:u w:val="single"/>
          <w:lang w:val="el" w:eastAsia="el"/>
        </w:rPr>
        <w:t>Α.3 Ενέργειες των Φορολογικών Υπηρεσιών (Δ.Ο.Υ./ΚΕΦΟΔΕ) για διόρθωση της εικόνας οχημάτων στο Π.Σ.Ο.</w:t>
      </w:r>
    </w:p>
    <w:p>
      <w:pPr>
        <w:spacing w:before="240" w:after="240"/>
        <w:rPr>
          <w:lang w:val="el" w:eastAsia="el"/>
        </w:rPr>
      </w:pPr>
      <w:r>
        <w:rPr>
          <w:b/>
          <w:bCs/>
          <w:u w:val="single"/>
          <w:lang w:val="el" w:eastAsia="el"/>
        </w:rPr>
        <w:t>Οι Φορολογικές Υπηρεσίες σε πραγματικό χρόνο λαμβάνουν την πληροφόρηση για την κατάσταση του κάθε οχήματος βάσει της δήλωσης του ιδιοκτήτη και διορθώνουν την εικόνα του οχήματος στο Πληροφοριακό Σύστημα Οχημάτων όπως προκύπτει από το σχετικό δικαιολογητικό που επισυνάπτει. Για παράδειγμα, αν ένα όχημα προκύπτει ότι κυκλοφορούσε στο εξωτερικό για περισσότερα του ενός έτη, τότε διορθώνεται η εικόνα του για όλα τα έτη (τίθεται σε αναγκαστική ακινησία για το ανάλογο χρονικό διάστημα).</w:t>
      </w:r>
    </w:p>
    <w:p>
      <w:pPr>
        <w:spacing w:before="240" w:after="240"/>
        <w:rPr>
          <w:lang w:val="el" w:eastAsia="el"/>
        </w:rPr>
      </w:pPr>
      <w:r>
        <w:rPr>
          <w:b/>
          <w:bCs/>
          <w:u w:val="single"/>
          <w:lang w:val="el" w:eastAsia="el"/>
        </w:rPr>
        <w:t>Για τις περιπτώσεις που δηλώνεται παράδοση σε συλλέκτη σιδερικών/ απώλεια, και δεν υφίσταται κατάλληλο δικαιολογητικό παρά μόνο υπεύθυνη δήλωση, δεν διορθώνεται η εικόνα του οχήματος, ωστόσο καταχωρείται σχετική σημείωση.</w:t>
      </w:r>
    </w:p>
    <w:p>
      <w:pPr>
        <w:spacing w:before="240" w:after="240"/>
        <w:rPr>
          <w:lang w:val="el" w:eastAsia="el"/>
        </w:rPr>
      </w:pPr>
      <w:r>
        <w:rPr>
          <w:b/>
          <w:bCs/>
          <w:u w:val="single"/>
          <w:lang w:val="el" w:eastAsia="el"/>
        </w:rPr>
        <w:t>Οι Φορολογικές Υπηρεσίες, προβαίνουν στις σχετικές διορθώσεις μέχρι τις 26/11/2024.</w:t>
      </w:r>
    </w:p>
    <w:p>
      <w:pPr>
        <w:spacing w:before="240" w:after="240"/>
        <w:rPr>
          <w:lang w:val="el" w:eastAsia="el"/>
        </w:rPr>
      </w:pPr>
      <w:r>
        <w:rPr>
          <w:b/>
          <w:bCs/>
          <w:u w:val="single"/>
          <w:lang w:val="el" w:eastAsia="el"/>
        </w:rPr>
        <w:t>Στις περιπτώσεις που από τα υποβαλλόμενα δικαιολογητικά δεν αποδεικνύεται η μη υποχρέωση καταβολής τελών κυκλοφορίας 2019, τότε τα αντίστοιχα τέλη συμπεριλαμβάνονται στη βεβαίωση των τελών κυκλοφορίας μετά του προστίμου.</w:t>
      </w:r>
    </w:p>
    <w:p>
      <w:pPr>
        <w:spacing w:before="240" w:after="240"/>
        <w:rPr>
          <w:lang w:val="el" w:eastAsia="el"/>
        </w:rPr>
      </w:pPr>
      <w:r>
        <w:rPr>
          <w:b/>
          <w:bCs/>
          <w:u w:val="single"/>
          <w:lang w:val="el" w:eastAsia="el"/>
        </w:rPr>
        <w:t>Α.4 Ηλεκτρονική Βεβαίωση</w:t>
      </w:r>
    </w:p>
    <w:p>
      <w:pPr>
        <w:spacing w:before="240" w:after="240"/>
        <w:rPr>
          <w:lang w:val="el" w:eastAsia="el"/>
        </w:rPr>
      </w:pPr>
      <w:r>
        <w:rPr>
          <w:b/>
          <w:bCs/>
          <w:u w:val="single"/>
          <w:lang w:val="el" w:eastAsia="el"/>
        </w:rPr>
        <w:t>Η βεβαίωση των τελών κυκλοφορίας έτους 2019 θα διενεργηθεί από τη ΔΑΦΕ της Γ.Δ.ΗΛΕ.Δ., με ημερομηνία έναρξης, την 27/11/2024 και απώτατη ημερομηνία ολοκλήρωσης την 03/12/2024.</w:t>
      </w:r>
    </w:p>
    <w:p>
      <w:pPr>
        <w:spacing w:before="240" w:after="240"/>
        <w:rPr>
          <w:lang w:val="el" w:eastAsia="el"/>
        </w:rPr>
      </w:pPr>
      <w:r>
        <w:rPr>
          <w:b/>
          <w:bCs/>
          <w:u w:val="single"/>
          <w:lang w:val="el" w:eastAsia="el"/>
        </w:rPr>
        <w:t>Α.5 Ενέργειες μετά τη βεβαίωση των τελών κυκλοφορίας</w:t>
      </w:r>
    </w:p>
    <w:p>
      <w:pPr>
        <w:spacing w:before="240" w:after="240"/>
        <w:rPr>
          <w:lang w:val="el" w:eastAsia="el"/>
        </w:rPr>
      </w:pPr>
      <w:r>
        <w:rPr>
          <w:b/>
          <w:bCs/>
          <w:u w:val="single"/>
          <w:lang w:val="el" w:eastAsia="el"/>
        </w:rPr>
        <w:t>Σε κάθε περίπτωση που ιδιοκτήτης οχήματος στον οποίο έχουν βεβαιωθεί τα τέλη κυκλοφορίας έτους 2019 (μετά του προστίμου), προσκομίσει εκ των υστέρων δικαιολογητικά που αποδεικνύουν τη μη οφειλή είτε των τελών κυκλοφορίας και του προστίμου είτε μόνο του προστίμου, τα ανωτέρω γίνονται δεκτά από τη Φορολογική Υπηρεσία και η οφειλή διαγράφεται κατά περίπτωση. Τέλος, η πράξη της Φορολογικής Διοίκησης που αφορά τη βεβαίωση τελών κυκλοφορίας, προσβάλλεται απευθείας στα τακτικά διοικητικά δικαστήρια σύμφωνα με τον ν.2717/1999 (Α’ 97 - Κ.Δ.Δ.).</w:t>
      </w:r>
    </w:p>
    <w:p>
      <w:pPr>
        <w:spacing w:before="240" w:after="240"/>
        <w:rPr>
          <w:lang w:val="el" w:eastAsia="el"/>
        </w:rPr>
      </w:pPr>
      <w:r>
        <w:rPr>
          <w:b/>
          <w:bCs/>
          <w:u w:val="single"/>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I.ΑΠΟΔΕΚΤΕΣ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u w:val="single"/>
          <w:lang w:val="el" w:eastAsia="el"/>
        </w:rPr>
        <w:t xml:space="preserve">II. </w:t>
      </w: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μόνο οι αριθμ. 1 και 4</w:t>
      </w:r>
    </w:p>
    <w:p>
      <w:pPr>
        <w:spacing w:before="240" w:after="240"/>
        <w:rPr>
          <w:lang w:val="el" w:eastAsia="el"/>
        </w:rPr>
      </w:pPr>
      <w:r>
        <w:rPr>
          <w:u w:val="single"/>
          <w:lang w:val="el" w:eastAsia="el"/>
        </w:rPr>
        <w:t xml:space="preserve">2. </w:t>
      </w:r>
      <w:r>
        <w:rPr>
          <w:b/>
          <w:bCs/>
          <w:u w:val="single"/>
          <w:lang w:val="el" w:eastAsia="el"/>
        </w:rPr>
        <w:t>Αποδέκτες Πίνακα Β’</w:t>
      </w:r>
    </w:p>
    <w:p>
      <w:pPr>
        <w:spacing w:before="240" w:after="240"/>
        <w:rPr>
          <w:lang w:val="el" w:eastAsia="el"/>
        </w:rPr>
      </w:pPr>
      <w:r>
        <w:rPr>
          <w:u w:val="single"/>
          <w:lang w:val="el" w:eastAsia="el"/>
        </w:rPr>
        <w:t xml:space="preserve">3. </w:t>
      </w:r>
      <w:r>
        <w:rPr>
          <w:b/>
          <w:bCs/>
          <w:u w:val="single"/>
          <w:lang w:val="el" w:eastAsia="el"/>
        </w:rPr>
        <w:t>Αποδέκτες Πίνακα Δ’</w:t>
      </w:r>
    </w:p>
    <w:p>
      <w:pPr>
        <w:spacing w:before="240" w:after="240"/>
        <w:rPr>
          <w:lang w:val="el" w:eastAsia="el"/>
        </w:rPr>
      </w:pPr>
      <w:r>
        <w:rPr>
          <w:u w:val="single"/>
          <w:lang w:val="el" w:eastAsia="el"/>
        </w:rPr>
        <w:t xml:space="preserve">4. </w:t>
      </w:r>
      <w:r>
        <w:rPr>
          <w:b/>
          <w:bCs/>
          <w:u w:val="single"/>
          <w:lang w:val="el" w:eastAsia="el"/>
        </w:rPr>
        <w:t>Αποδέκτες Πίνακα Η’</w:t>
      </w:r>
    </w:p>
    <w:p>
      <w:pPr>
        <w:spacing w:before="240" w:after="240"/>
        <w:rPr>
          <w:lang w:val="el" w:eastAsia="el"/>
        </w:rPr>
      </w:pPr>
      <w:r>
        <w:rPr>
          <w:u w:val="single"/>
          <w:lang w:val="el" w:eastAsia="el"/>
        </w:rPr>
        <w:t xml:space="preserve">5.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6.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7. </w:t>
      </w:r>
      <w:r>
        <w:rPr>
          <w:b/>
          <w:bCs/>
          <w:u w:val="single"/>
          <w:lang w:val="el" w:eastAsia="el"/>
        </w:rPr>
        <w:t>Γραφείο Γενικής Γραμματέως Φορολογικής Πολιτικής</w:t>
      </w:r>
    </w:p>
    <w:p>
      <w:pPr>
        <w:spacing w:before="240" w:after="240"/>
        <w:rPr>
          <w:lang w:val="el" w:eastAsia="el"/>
        </w:rPr>
      </w:pPr>
      <w:r>
        <w:rPr>
          <w:b/>
          <w:bCs/>
          <w:u w:val="single"/>
          <w:lang w:val="el" w:eastAsia="el"/>
        </w:rPr>
        <w:t>III.ΕΣΩΤΕΡΙΚΗ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Άμεσης Φορολογίας</w:t>
      </w:r>
    </w:p>
    <w:p>
      <w:pPr>
        <w:spacing w:before="240" w:after="240"/>
        <w:rPr>
          <w:lang w:val="el" w:eastAsia="el"/>
        </w:rPr>
      </w:pPr>
      <w:r>
        <w:rPr>
          <w:u w:val="single"/>
          <w:lang w:val="el" w:eastAsia="el"/>
        </w:rPr>
        <w:t xml:space="preserve">5. </w:t>
      </w:r>
      <w:r>
        <w:rPr>
          <w:b/>
          <w:bCs/>
          <w:u w:val="single"/>
          <w:lang w:val="el" w:eastAsia="el"/>
        </w:rPr>
        <w:t>Διεύθυνση Εφαρμογής Έμμεσης Φορολογίας</w:t>
      </w:r>
    </w:p>
    <w:p>
      <w:pPr>
        <w:spacing w:before="240" w:after="240"/>
        <w:rPr>
          <w:lang w:val="el" w:eastAsia="el"/>
        </w:rPr>
      </w:pPr>
      <w:r>
        <w:rPr>
          <w:u w:val="single"/>
          <w:lang w:val="el" w:eastAsia="el"/>
        </w:rPr>
        <w:t xml:space="preserve">6.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7. </w:t>
      </w:r>
      <w:r>
        <w:rPr>
          <w:b/>
          <w:bCs/>
          <w:u w:val="single"/>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