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ΔΙΕΥΘΥΝΣΗ ΔΙΕΘΝΩΝ ΦΟΡΟΛΟΓΙΚΩΝ</w:t>
      </w:r>
    </w:p>
    <w:p>
      <w:pPr>
        <w:pStyle w:val="PreambelText"/>
        <w:spacing w:before="240" w:after="240"/>
        <w:rPr>
          <w:lang w:val="el" w:eastAsia="el"/>
        </w:rPr>
      </w:pPr>
      <w:r>
        <w:rPr>
          <w:b/>
          <w:bCs/>
          <w:lang w:val="el" w:eastAsia="el"/>
        </w:rPr>
        <w:t>ΣΧΕΣΕΩΝ (Δ.Δ.ΦΟ.Σ.)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ΔΙΕΘΝΩΝ ΦΟΡΟΛΟΓΙΚΩΝ ΣΥΜΒΑΣΕΩΝ ΚΑΙ ΑΜΟΙΒΑΙΩΝ ΔΙΑΚΑΝΟΝΙΣΜΩΝ</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Ταύρος</w:t>
      </w:r>
    </w:p>
    <w:p>
      <w:pPr>
        <w:spacing w:before="240" w:after="240"/>
        <w:rPr>
          <w:lang w:val="el" w:eastAsia="el"/>
        </w:rPr>
      </w:pPr>
      <w:r>
        <w:rPr>
          <w:b/>
          <w:bCs/>
          <w:lang w:val="el" w:eastAsia="el"/>
        </w:rPr>
        <w:t>2131410162, 168</w:t>
      </w:r>
    </w:p>
    <w:p>
      <w:pPr>
        <w:spacing w:before="240" w:after="240"/>
        <w:rPr>
          <w:lang w:val="el" w:eastAsia="el"/>
        </w:rPr>
      </w:pPr>
      <w:r>
        <w:rPr>
          <w:b/>
          <w:bCs/>
          <w:lang w:val="el" w:eastAsia="el"/>
        </w:rPr>
        <w:t>169, 179</w:t>
      </w:r>
    </w:p>
    <w:p>
      <w:pPr>
        <w:spacing w:before="240" w:after="240"/>
        <w:rPr>
          <w:lang w:val="el" w:eastAsia="el"/>
        </w:rPr>
      </w:pP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Κοινοποίηση των διατάξεων του ν. 5137/2024 (Α’ 149/19.9.2024) «Σύμβαση μεταξύ της Ελληνικής Δημοκρατίας και της Ιαπωνίας για την αποφυγή της διπλής φορολογίας αναφορικά με τους φόρους εισοδήματος και την αποτροπή της φοροδιαφυγής και της φοροαποφυγής και του Πρωτοκόλλου αυτής»</w:t>
      </w:r>
    </w:p>
    <w:p>
      <w:pPr>
        <w:spacing w:before="240" w:after="240"/>
        <w:rPr>
          <w:lang w:val="el" w:eastAsia="el"/>
        </w:rPr>
      </w:pPr>
      <w:r>
        <w:rPr>
          <w:b/>
          <w:bCs/>
          <w:lang w:val="el" w:eastAsia="el"/>
        </w:rPr>
        <w:t>ΠΕΡΙΛΗΨΗΑ) ΑΝΤΙΚΕΙΜΕΝΟ</w:t>
      </w:r>
    </w:p>
    <w:p>
      <w:pPr>
        <w:spacing w:before="240" w:after="240"/>
        <w:rPr>
          <w:lang w:val="el" w:eastAsia="el"/>
        </w:rPr>
      </w:pPr>
      <w:r>
        <w:rPr>
          <w:b/>
          <w:bCs/>
          <w:lang w:val="el" w:eastAsia="el"/>
        </w:rPr>
        <w:t>Κοινοποίηση των διατάξεων του ν. ν. 5137/2024 (Α’ 149)</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του ν. 5137/2024 (Α’ 149) «Σύμβαση μεταξύ της Ελληνικής Δημοκρατίας και της Ιαπωνίας για την αποφυγή της διπλής φορολογίας αναφορικά με τους φόρους εισοδήματος και την αποτροπή της φοροδιαφυγής και της φοροαποφυγής και του Πρωτοκόλλου αυτής»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εν θέματι Σύμβαση μεταξύ Ελλάδας και Ιαπωνίας, εφαρμόζεται σε φυσικά πρόσωπα, νομικά πρόσωπα και σε νομικές οντότητες που λαμβάνουν εισόδημα αλλοδαπής που υπόκειται σε φόρους εισοδήματος, ήτοι σε φορολογικούς κατοίκους Ελλάδας που αποκτούν εισόδημα στην Ιαπωνία και το αντίστροφο.</w:t>
      </w:r>
    </w:p>
    <w:p>
      <w:pPr>
        <w:spacing w:before="240" w:after="240"/>
        <w:rPr>
          <w:lang w:val="el" w:eastAsia="el"/>
        </w:rPr>
      </w:pPr>
      <w:r>
        <w:rPr>
          <w:b/>
          <w:bCs/>
          <w:lang w:val="el" w:eastAsia="el"/>
        </w:rPr>
        <w:t>Σας κοινοποιούμε, συνημμένα για ενημέρωση και εφαρμογή, τις διατάξεις του ν. 5137/2024</w:t>
      </w:r>
    </w:p>
    <w:p>
      <w:pPr>
        <w:spacing w:before="240" w:after="240"/>
        <w:rPr>
          <w:lang w:val="el" w:eastAsia="el"/>
        </w:rPr>
      </w:pPr>
      <w:r>
        <w:rPr>
          <w:b/>
          <w:bCs/>
          <w:lang w:val="el" w:eastAsia="el"/>
        </w:rPr>
        <w:t>(Α’ 149) ο οποίος διαρθρώνεται ως εξής:</w:t>
      </w:r>
    </w:p>
    <w:p>
      <w:pPr>
        <w:pStyle w:val="Heading6"/>
        <w:spacing w:before="240" w:after="240"/>
        <w:rPr>
          <w:lang w:val="el" w:eastAsia="el"/>
        </w:rPr>
      </w:pPr>
      <w:r>
        <w:rPr>
          <w:b/>
          <w:bCs/>
          <w:lang w:val="el" w:eastAsia="el"/>
        </w:rPr>
        <w:t xml:space="preserve">Άρθρο πρώτο </w:t>
      </w:r>
    </w:p>
    <w:p>
      <w:pPr>
        <w:pStyle w:val="Heading6"/>
        <w:spacing w:before="240" w:after="240"/>
        <w:rPr>
          <w:lang w:val="el" w:eastAsia="el"/>
        </w:rPr>
      </w:pPr>
      <w:r>
        <w:rPr>
          <w:b/>
          <w:bCs/>
          <w:lang w:val="el" w:eastAsia="el"/>
        </w:rPr>
        <w:t>«Κύρωση Σύμβασης και Πρωτοκόλλου»</w:t>
      </w:r>
    </w:p>
    <w:p>
      <w:pPr>
        <w:spacing w:before="240" w:after="240"/>
        <w:rPr>
          <w:lang w:val="el" w:eastAsia="el"/>
        </w:rPr>
      </w:pPr>
      <w:r>
        <w:rPr>
          <w:b/>
          <w:bCs/>
          <w:lang w:val="el" w:eastAsia="el"/>
        </w:rPr>
        <w:t>Σύμβαση μεταξύ της Ελληνικής Δημοκρατίας και της Ιαπωνίας για την αποφυγή της διπλής φορολογίας αναφορικά με τους φόρους εισοδήματος και την αποτροπή της φοροδιαφυγής και της φοροαποφυγής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Πρόσωπα που καλύπτονται</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Φόροι που καλύπτονται</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Γενικοί ορισμοί</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Κάτοικος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Μόνιμη εγκατάσταση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Εισόδημα από ακίνητη περιουσία</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Κέρδη επιχειρήσεων</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Διεθνείς ναυτιλιακές και αεροπορικές μεταφορές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Συνδεδεμένες επιχειρήσεις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Μερίσματα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Τόκοι</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Δικαιώματα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Ωφέλεια από κεφάλαιο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Εισόδημα από απασχόληση</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Αμοιβές διευθυντών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Καλλιτέχνες και αθλητές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Συντάξεις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Κυβερνητικές υπηρεσίες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Σπουδαστές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Αφανής εταιρεία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Άλλα εισοδήματα</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Αποφυγή της διπλής φορολογίας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Μη διακριτική μεταχείριση</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Διαδικασία αμοιβαίου διακανονισμού</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Ανταλλαγή πληροφοριών</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Συνδρομή στην είσπραξη φόρων</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Μέλη διπλωματικών αποστολών και προξενικών αποστολών</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Χορήγηση των προνομίων της σύμβασης</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Θέση σε ισχύ</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Λήξη Πρωτόκολλο</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Σύμφωνα με το άρθρο δεύτερο του κοινοποιούμενου νόμου, η ισχύς του αρχίζει από τη δημοσίευσή του στην Εφημερίδα της Κυβερνήσεως και της Σύμβασης και του Πρωτοκόλλου που κυρώνονται από την πλήρωση των προϋποθέσεων της παρ. 1 του άρθρου 29 της Σύμβασης.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ΣΥΝΗΜΜΕΝΟ</w:t>
      </w:r>
      <w:r>
        <w:rPr>
          <w:b/>
          <w:bCs/>
          <w:lang w:val="el" w:eastAsia="el"/>
        </w:rPr>
        <w:t>: ν. 5137/2024 (Α’ 149/19.9.2024)</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Γενικής Γραμματέως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Α΄(πλην των αποδεκτών προς ενέργεια)</w:t>
      </w:r>
    </w:p>
    <w:p>
      <w:pPr>
        <w:pStyle w:val="MainText"/>
        <w:spacing w:before="120" w:after="0"/>
        <w:rPr>
          <w:lang w:val="el" w:eastAsia="el"/>
        </w:rPr>
      </w:pPr>
      <w:r>
        <w:rPr>
          <w:b/>
          <w:bCs/>
          <w:lang w:val="el" w:eastAsia="el"/>
        </w:rPr>
        <w:t>6.</w:t>
      </w:r>
      <w:r>
        <w:rPr>
          <w:lang w:val="el" w:eastAsia="el"/>
        </w:rPr>
        <w:t xml:space="preserve"> </w:t>
      </w:r>
      <w:r>
        <w:rPr>
          <w:b/>
          <w:bCs/>
          <w:lang w:val="el" w:eastAsia="el"/>
        </w:rPr>
        <w:t>Αποδέκτες Πίνακα Β΄</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Γραφεία Προϊσταμένων Γενικών Διευθύνσεων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Διεθνών Φορολογικών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