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ΔΙΕΥΘΥΝΣΗ ΕΛΕΓΚΤΙΚΩΝ ΔΙΑΔΙΚΑΣΙΩΝ (ΔΙ.ΕΛ.ΔΙ.)</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17778 Ταύρος 2131410814</w:t>
      </w:r>
    </w:p>
    <w:p>
      <w:pPr>
        <w:pStyle w:val="PreambelText"/>
        <w:spacing w:before="240" w:after="240"/>
        <w:rPr>
          <w:lang w:val="el" w:eastAsia="el"/>
        </w:rPr>
      </w:pP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«Κοινοποίηση των διατάξεων των άρθρων 6 και 31 του ν. 5136/2024 (Α΄148/19.09.2024) «Διαδικασίες ελέγχου, διοικητικά μέτρα και κυρώσεις στον τομέα των γεωργικών προϊόντων και τροφίμων με Προστατευόμενες Ονομασίες Προέλευσης, Προστατευόμενες Γεωγραφικές Ενδείξεις και Εγγυημένων Παραδοσιακών Ιδιότυπων Προϊόντων.»</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6 και 31 του ν. 5136/2024 «Διαδικασίες ελέγχου, διοικητικά μέτρα και κυρώσεις στον τομέα των γεωργικών προϊόντων και τροφίμων με Προστατευόμενες Ονομασίες Προέλευσης, Προστατευόμενες Γεωγραφικές Ενδείξεις και Εγγυημένων Παραδοσιακών Ιδιότυπων Προϊόντων» (Α΄148/19.09.2024).</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6 και 31 του ν. 5136/2024:</w:t>
      </w:r>
    </w:p>
    <w:p>
      <w:pPr>
        <w:pStyle w:val="PreambelText"/>
        <w:spacing w:before="240" w:after="240"/>
        <w:rPr>
          <w:lang w:val="el" w:eastAsia="el"/>
        </w:rPr>
      </w:pPr>
      <w:r>
        <w:rPr>
          <w:lang w:val="el" w:eastAsia="el"/>
        </w:rPr>
        <w:t xml:space="preserve">1. </w:t>
      </w:r>
      <w:r>
        <w:rPr>
          <w:b/>
          <w:bCs/>
          <w:lang w:val="el" w:eastAsia="el"/>
        </w:rPr>
        <w:t>Άρθρο 6 «Υποχρεώσεις επιχειρήσεων παραγωγής, συσκευασίας και εμπορίας που έχουν ενταχθεί στο Μητρώο.».</w:t>
      </w:r>
    </w:p>
    <w:p>
      <w:pPr>
        <w:pStyle w:val="PreambelText"/>
        <w:spacing w:before="240" w:after="240"/>
        <w:rPr>
          <w:lang w:val="el" w:eastAsia="el"/>
        </w:rPr>
      </w:pPr>
      <w:r>
        <w:rPr>
          <w:lang w:val="el" w:eastAsia="el"/>
        </w:rPr>
        <w:t xml:space="preserve">2. </w:t>
      </w:r>
      <w:r>
        <w:rPr>
          <w:b/>
          <w:bCs/>
          <w:lang w:val="el" w:eastAsia="el"/>
        </w:rPr>
        <w:t>Άρθρο 31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Οι διατάξεις του άρθρου 6 αφορούν στις υποχρεώσεις επιχειρήσεων παραγωγής, συσκευασίας και εμπορίας που έχουν ενταχθεί στο Μητρώο.</w:t>
      </w:r>
    </w:p>
    <w:p>
      <w:pPr>
        <w:pStyle w:val="PreambelText"/>
        <w:spacing w:before="240" w:after="240"/>
        <w:rPr>
          <w:lang w:val="el" w:eastAsia="el"/>
        </w:rPr>
      </w:pPr>
      <w:r>
        <w:rPr>
          <w:lang w:val="el" w:eastAsia="el"/>
        </w:rPr>
        <w:t xml:space="preserve">2. </w:t>
      </w:r>
      <w:r>
        <w:rPr>
          <w:b/>
          <w:bCs/>
          <w:lang w:val="el" w:eastAsia="el"/>
        </w:rPr>
        <w:t>Οι διατάξεις του άρθρου 31 αφορούν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του άρθρου 6 του Κεφαλαίου Α΄του Μέρους Β΄του ν.5136/2024 (Α΄148) και του άρθρου 31 του Μέρους Ζ΄του ιδίου νόμου ως εξής: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«Υποχρεώσεις επιχειρήσεων παραγωγής, συσκευασίας και εμπορίας που έχουν ενταχθεί στο Μητρώο»</w:t>
      </w:r>
    </w:p>
    <w:p>
      <w:pPr>
        <w:spacing w:before="240" w:after="240"/>
        <w:rPr>
          <w:lang w:val="el" w:eastAsia="el"/>
        </w:rPr>
      </w:pPr>
      <w:r>
        <w:rPr>
          <w:b/>
          <w:bCs/>
          <w:lang w:val="el" w:eastAsia="el"/>
        </w:rPr>
        <w:t>Σύμφωνα με την παρ. 1 του άρθρου 6 του κοινοποιούμενου νόμου οι επιχειρήσεις που έχουν καταχωριστεί στο Μητρώο, σύμφωνα με το άρθρο 5, τηρούν αρχεία σχετικά με τους προμηθευτές πρώτης ύλης, τις εισερχόμενες ποσότητες και την προέλευση των πρώτων υλών, την κίνηση της παραγωγής, της συσκευασίας και ανασυσκευασίας των τελικών προϊόντων τους, τους αποδέκτες και τον προορισμό των εξερχόμενων ποσοτήτων, καθώς και τη σχέση μεταξύ κάθε παρτίδας εισροών πρώτων υλών και κάθε παρτίδας εκροών τελικού προϊόντος.</w:t>
      </w:r>
    </w:p>
    <w:p>
      <w:pPr>
        <w:spacing w:before="240" w:after="240"/>
        <w:rPr>
          <w:lang w:val="el" w:eastAsia="el"/>
        </w:rPr>
      </w:pPr>
      <w:r>
        <w:rPr>
          <w:b/>
          <w:bCs/>
          <w:lang w:val="el" w:eastAsia="el"/>
        </w:rPr>
        <w:t>Σύμφωνα με την παρ. 2 του άρθρου 6 του κοινοποιούμενου νόμου κατά τη διακίνηση γεωργικών προϊόντων ή τροφίμων με Π.Ο.Π., Π.Γ.Ε. ή Ε.Π.Ι.Π., μη προσυσκευασμένων ή συσκευασμένων, αυτά συνοδεύονται από τα καθορισμένα από τη φορολογική νομοθεσία έγγραφα, στα οποία αναγράφονται η καταχωρισμένη ονομασία και η ένδειξη Π.Ο.Π., Π.Γ.Ε. ή Ε.Π.Ι.Π..</w:t>
      </w:r>
    </w:p>
    <w:p>
      <w:pPr>
        <w:spacing w:before="240" w:after="240"/>
        <w:rPr>
          <w:lang w:val="el" w:eastAsia="el"/>
        </w:rPr>
      </w:pPr>
      <w:r>
        <w:rPr>
          <w:b/>
          <w:bCs/>
          <w:lang w:val="el" w:eastAsia="el"/>
        </w:rPr>
        <w:t>Σύμφωνα με την παρ. 3 του άρθρου 6 του κοινοποιούμενου νόμου οι επιχειρήσεις υποβάλλουν ηλεκτρονικά στον ΕΛ.Γ.Ο. - ΔΗΜΗΤΡΑ, μέσω του πληροφοριακού συστήματος που χρησιμοποιεί, αρχεία με δηλώσεις παραγωγής και αποθεμάτων, στοιχεία για τις ποσότητες ανά Π.Ο.Π., Π.Γ.Ε. ή Ε.Π.Ι.Π. που διακίνησαν στην εσωτερική αγορά, στα κράτη μέλη της Ευρωπαϊκής Ένωσης και τις ποσότητες που εξήγαγαν σε τρίτα κράτη, τον κύκλο εργασιών της προηγούμενης οικονομικής χρήσης τους, καθώς και οποιοδήποτε άλλο στοιχείο τους ζητηθεί σχετικά με το αντικείμενο των δραστηριοτήτων τους στον τομέα των Π.Ο.Π., Π.Γ.Ε. ή Ε.Π.Ι.Π..</w:t>
      </w:r>
    </w:p>
    <w:p>
      <w:pPr>
        <w:spacing w:before="240" w:after="240"/>
        <w:rPr>
          <w:lang w:val="el" w:eastAsia="el"/>
        </w:rPr>
      </w:pPr>
      <w:r>
        <w:rPr>
          <w:b/>
          <w:bCs/>
          <w:lang w:val="el" w:eastAsia="el"/>
        </w:rPr>
        <w:t>Σύμφωνα με την παρ. 4 του άρθρου 6 του κοινοποιούμενου νόμου οι επιχειρήσεις ενημερώνουν άμεσα εγγράφως τον ΕΛ.Γ.Ο. - ΔΗΜΗΤΡΑ για κάθε μεταβολή που δύναται να επηρεάσει την καταχώρισή τους στο Μητρώο, συμπεριλαμβανομένης της αλλαγής ή τροποποίησης της νομικής τους μορφής, της επωνυμίας, της ετικέτας, αλλαγές στον μηχανολογικό εξοπλισμό, στο διάγραμμα ροής της παραγωγής, στους αποθηκευτικούς χώρους που διαθέτουν, ιδίως δεξαμενές ή ψυγεία, καθώς και οποιαδήποτε τροποποίηση της διαδικασίας και των μέσων παραγωγής που χρησιμοποιούν.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Σύμφωνα με το άρθρο 31 του κοινοποιούμενου νόμου η ισχύς του αρχίζει από τη δημοσίευσή του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Συνημμένα: Απόσπασμα του ΦΕΚ Α΄148/19.09.2024 που περιλαμβάνει τα κοινοποιούμενα άρθρα 6 και 31 του ν. 5136/2024.</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w:t>
      </w:r>
      <w:r>
        <w:rPr>
          <w:b/>
          <w:bCs/>
          <w:lang w:val="el" w:eastAsia="el"/>
        </w:rPr>
        <w:t xml:space="preserve">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Θ΄</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6.</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7.</w:t>
      </w:r>
      <w:r>
        <w:rPr>
          <w:lang w:val="el" w:eastAsia="el"/>
        </w:rPr>
        <w:t xml:space="preserve"> </w:t>
      </w:r>
      <w:r>
        <w:rPr>
          <w:b/>
          <w:bCs/>
          <w:lang w:val="el" w:eastAsia="el"/>
        </w:rPr>
        <w:t>Αποδέκτες Πίνακα Δ΄</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Γραφεία κ.κ. Προϊσταμένων Γενικών Διευθύνσεων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Ελεγκτικών Διαδικασιών (Όλα τα Τμήματα)</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9.</w:t>
      </w:r>
      <w:r>
        <w:rPr>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10.</w:t>
      </w:r>
      <w:r>
        <w:rPr>
          <w:lang w:val="el" w:eastAsia="el"/>
        </w:rPr>
        <w:t xml:space="preserve"> </w:t>
      </w:r>
      <w:r>
        <w:rPr>
          <w:b/>
          <w:bCs/>
          <w:lang w:val="el" w:eastAsia="el"/>
        </w:rPr>
        <w:t>Διεύθυνση Διεθνών Φορολογικών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