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2. ΔΙΕΥΘΥΝΣΗ ΕΦΑΡΜΟΓΗΣ ΑΜΕΣΗΣ ΦΟΡΟΛΟΓΙΑΣ</w:t>
      </w:r>
    </w:p>
    <w:p>
      <w:pPr>
        <w:pStyle w:val="Title"/>
        <w:spacing w:before="120" w:after="360"/>
        <w:rPr>
          <w:lang w:val="el" w:eastAsia="el"/>
        </w:rPr>
      </w:pPr>
      <w:r>
        <w:rPr>
          <w:b/>
          <w:bCs/>
          <w:lang w:val="el" w:eastAsia="el"/>
        </w:rPr>
        <w:t>ΤΜΗΜΑΤΑ 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2131410219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deaf@aade.gr</w:t>
              </w:r>
            </w:hyperlink>
          </w:p>
        </w:tc>
      </w:tr>
    </w:tbl>
    <w:p>
      <w:pPr>
        <w:pStyle w:val="PreambelText"/>
        <w:spacing w:before="240" w:after="240"/>
        <w:rPr>
          <w:lang w:val="el" w:eastAsia="el"/>
        </w:rPr>
      </w:pPr>
      <w:r>
        <w:rPr>
          <w:b/>
          <w:bCs/>
          <w:lang w:val="el" w:eastAsia="el"/>
        </w:rPr>
        <w:t>ΘΕΜΑ: Κοινοποίηση των διατάξεων των άρθρων 57, 62, 70 και 73 του ν. 5140/2024 «Νέο Αναπτυξιακό Πρόγραμμα Δημοσίων Επενδύσεων και συμπληρωματικές διατάξεις» (Α΄154/30.9.2024)</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57, 62, 70 και 73 του ν. 5140/2024 Β)ΠΕΡΙΕΧΟΜΕΝΟ</w:t>
      </w:r>
    </w:p>
    <w:p>
      <w:pPr>
        <w:pStyle w:val="PreambelText"/>
        <w:spacing w:before="240" w:after="240"/>
        <w:rPr>
          <w:lang w:val="el" w:eastAsia="el"/>
        </w:rPr>
      </w:pPr>
      <w:r>
        <w:rPr>
          <w:b/>
          <w:bCs/>
          <w:lang w:val="el" w:eastAsia="el"/>
        </w:rPr>
        <w:t>Κοινοποίηση των διατάξεων των κάτωθι άρθρων του ν. 5140/2024:</w:t>
      </w:r>
    </w:p>
    <w:p>
      <w:pPr>
        <w:pStyle w:val="PreambelText"/>
        <w:spacing w:before="240" w:after="240"/>
        <w:rPr>
          <w:lang w:val="el" w:eastAsia="el"/>
        </w:rPr>
      </w:pPr>
      <w:r>
        <w:rPr>
          <w:lang w:val="el" w:eastAsia="el"/>
        </w:rPr>
        <w:t xml:space="preserve">1. </w:t>
      </w:r>
      <w:r>
        <w:rPr>
          <w:b/>
          <w:bCs/>
          <w:lang w:val="el" w:eastAsia="el"/>
        </w:rPr>
        <w:t>του άρθρου 57: «Ειδικές ρυθμίσεις για την Ελληνική Αναπτυξιακή Τράπεζα»</w:t>
      </w:r>
    </w:p>
    <w:p>
      <w:pPr>
        <w:pStyle w:val="PreambelText"/>
        <w:spacing w:before="240" w:after="240"/>
        <w:rPr>
          <w:lang w:val="el" w:eastAsia="el"/>
        </w:rPr>
      </w:pPr>
      <w:r>
        <w:rPr>
          <w:lang w:val="el" w:eastAsia="el"/>
        </w:rPr>
        <w:t xml:space="preserve">2. </w:t>
      </w:r>
      <w:r>
        <w:rPr>
          <w:b/>
          <w:bCs/>
          <w:lang w:val="el" w:eastAsia="el"/>
        </w:rPr>
        <w:t>του άρθρου 62: «Ζητήματα φορολόγησης πλοίων - Τροποποίηση περ. στ παρ. 2 άρθρου 12 ν. 27/1975, περ. α και υποπερ. ν) περ. β παρ. 1 άρθρου 44 ν. 4111/2013»</w:t>
      </w:r>
    </w:p>
    <w:p>
      <w:pPr>
        <w:pStyle w:val="PreambelText"/>
        <w:spacing w:before="240" w:after="240"/>
        <w:rPr>
          <w:lang w:val="el" w:eastAsia="el"/>
        </w:rPr>
      </w:pPr>
      <w:r>
        <w:rPr>
          <w:lang w:val="el" w:eastAsia="el"/>
        </w:rPr>
        <w:t xml:space="preserve">3. </w:t>
      </w:r>
      <w:r>
        <w:rPr>
          <w:b/>
          <w:bCs/>
          <w:lang w:val="el" w:eastAsia="el"/>
        </w:rPr>
        <w:t>του άρθρου 70: «Παράταση προθεσμίας ως προς εκκρεμείς διαδικασίες ειδικής διαχείρισης - Τροποποίηση παρ. 1Α άρθρου 76 ν. 4307/2014»</w:t>
      </w:r>
    </w:p>
    <w:p>
      <w:pPr>
        <w:pStyle w:val="PreambelText"/>
        <w:spacing w:before="240" w:after="240"/>
        <w:rPr>
          <w:lang w:val="el" w:eastAsia="el"/>
        </w:rPr>
      </w:pPr>
      <w:r>
        <w:rPr>
          <w:lang w:val="el" w:eastAsia="el"/>
        </w:rPr>
        <w:t xml:space="preserve">4. </w:t>
      </w:r>
      <w:r>
        <w:rPr>
          <w:b/>
          <w:bCs/>
          <w:lang w:val="el" w:eastAsia="el"/>
        </w:rPr>
        <w:t>του άρθρου 73: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Το άρθρο 57 αφορά στην πρόβλεψη εξαίρεσης για την Ελληνική Αναπτυξιακή Τράπεζα από την υποχρέωση προσκόμισης αποδεικτικού ενημερότητας για την είσπραξη χρημάτων από το Δημόσιο στο πλαίσιο των δραστηριοτήτων της και θέσπισης του ακατάσχετου, ανεκχώρητου, αδέσμευτου και ασυμψήφιστου των χρηματικών ποσών που προέρχονται από τους πόρους προγραμμάτων της παρ. 1 του ιδίου άρθρου.</w:t>
      </w:r>
    </w:p>
    <w:p>
      <w:pPr>
        <w:pStyle w:val="PreambelText"/>
        <w:spacing w:before="240" w:after="240"/>
        <w:rPr>
          <w:lang w:val="el" w:eastAsia="el"/>
        </w:rPr>
      </w:pPr>
      <w:r>
        <w:rPr>
          <w:lang w:val="el" w:eastAsia="el"/>
        </w:rPr>
        <w:t xml:space="preserve">2. </w:t>
      </w:r>
      <w:r>
        <w:rPr>
          <w:b/>
          <w:bCs/>
          <w:lang w:val="el" w:eastAsia="el"/>
        </w:rPr>
        <w:t>Το άρθρο 62 αφορά πρόσωπα με ιδιωτικά πλοία αναψυχής ολικού μήκους μέχρι και επτά (7) μέτρα.</w:t>
      </w:r>
    </w:p>
    <w:p>
      <w:pPr>
        <w:pStyle w:val="PreambelText"/>
        <w:spacing w:before="240" w:after="240"/>
        <w:rPr>
          <w:lang w:val="el" w:eastAsia="el"/>
        </w:rPr>
      </w:pPr>
      <w:r>
        <w:rPr>
          <w:lang w:val="el" w:eastAsia="el"/>
        </w:rPr>
        <w:t xml:space="preserve">3. </w:t>
      </w:r>
      <w:r>
        <w:rPr>
          <w:b/>
          <w:bCs/>
          <w:lang w:val="el" w:eastAsia="el"/>
        </w:rPr>
        <w:t>Το άρθρο 70 αφορά επιχειρήσεις υπό διαδικασία ειδικής διαχείρισης κατ’ άρθρα 6877 του ν. 4307/2014, για τις οποίες έχει ληφθεί από τη συνέλευση των πιστωτών τους απόφαση παράτασης της διαδικασίας ειδικής διαχείρισης κατ’ εφαρμογή του τέταρτου εδαφίου της παρ. 1 του άρθρου 76 του ν. 4307/2014, τελούν σε παράταση την 30ή Ιουνίου 2024 και εκκρεμεί η διανομή του προϊόντος ρευστοποίησης στους πιστωτές.</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57, 62, 70 και 73 του ν. 5140/2024, ως ακολούθως: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ρυθμίσεις για την Ελληνική Αναπτυξιακή Τράπεζα»</w:t>
      </w:r>
    </w:p>
    <w:p>
      <w:pPr>
        <w:spacing w:before="240" w:after="240"/>
        <w:rPr>
          <w:lang w:val="el" w:eastAsia="el"/>
        </w:rPr>
      </w:pPr>
      <w:r>
        <w:rPr>
          <w:b/>
          <w:bCs/>
          <w:lang w:val="el" w:eastAsia="el"/>
        </w:rPr>
        <w:t>Στην παρ. 1 του άρθρου 57 του κοινοποιούμενου νόμου ορίζεται ότι η Ελληνική Αναπτυξιακή Τράπεζα Ανώνυμη Εταιρεία εξαιρείται από την υποχρέωση προσκόμισης αποδεικτικού ενημερότητας του άρθρου 12 του Κώδικα Φορολογικής Διαδικασίας (ν. 5104/2024, Α΄ 58) για την είσπραξη χρημάτων από το Δημόσιο στο πλαίσιο των δραστηριοτήτων της, ιδίως δε της διαχείρισης και υλοποίησης προγραμμάτων που χρηματοδοτούνται από το ΕΣΠΑ 2021 - 2027, από τον τακτικό προϋπολογισμό, το Πρόγραμμα Δημοσίων Επενδύσεων, από ενωσιακά και διακρατικά Προγράμματα διεθνών πολυμερών οργανισμών ή άλλα παρεμφερή προγράμματα ή προγράμματα ενωσιακών και διεθνών χρηματοδοτικών οργανισμών και αναπτυξιακών τραπεζών.</w:t>
      </w:r>
    </w:p>
    <w:p>
      <w:pPr>
        <w:spacing w:before="240" w:after="240"/>
        <w:rPr>
          <w:lang w:val="el" w:eastAsia="el"/>
        </w:rPr>
      </w:pPr>
      <w:r>
        <w:rPr>
          <w:b/>
          <w:bCs/>
          <w:lang w:val="el" w:eastAsia="el"/>
        </w:rPr>
        <w:t>Στην παρ. 2 του άρθρου 57 κοινοποιούμενου νόμου ορίζεται ότι κάθε χρηματικό ποσόν που προέρχεται από πόρους προγραμμάτων της παρ. 1 είναι ακατάσχετο και ανεκχώρητο στα χέρια του Δημοσίου ή οποιουδήποτε τρίτου, είτε φυσικού είτε νομικού προσώπου κατά παρέκκλιση κάθε άλλης γενικής ή ειδικής διάταξης, δεν δεσμεύεται για οποιαδήποτε αιτία και δεν συμψηφίζεται με οποιαδήποτε εν γένει απαίτηση τρίτου, είτε του ιδιωτικού είτε του δημοσίου τομέα, ακόμα δε και εάν έχει τυχόν βεβαιωθεί στην αρμόδια φορολογική αρχή.</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«Ζητήματα φορολόγησης πλοίων - Τροποποίηση περ. στ παρ. 2 άρθρου 12 ν. 27/1975, περ. α και υποπερ. v) περ. β παρ. 1 άρθρου 44 ν. 4111/2013»</w:t>
      </w:r>
    </w:p>
    <w:p>
      <w:pPr>
        <w:spacing w:before="240" w:after="240"/>
        <w:rPr>
          <w:lang w:val="el" w:eastAsia="el"/>
        </w:rPr>
      </w:pPr>
      <w:r>
        <w:rPr>
          <w:b/>
          <w:bCs/>
          <w:lang w:val="el" w:eastAsia="el"/>
        </w:rPr>
        <w:t>Με την παρ. 1 του άρθρου 62 του κοινοποιούμενου νόμου ορίζεται ότι στον πίνακα της περ. στ της παρ. 2 του άρθρου 12 του ν. 27/1975 (Α΄ 77), περί υπολογισμού φόρου πλοίων δεύτερης κατηγορίας, για την κατηγορία ολικού μήκους σε μέτρα μέχρι και επτά (7) ορίζεται συντελεστής φόρου 0, και η περ. στ διαμορφώνεται ως εξής:</w:t>
      </w:r>
    </w:p>
    <w:p>
      <w:pPr>
        <w:spacing w:before="240" w:after="240"/>
        <w:rPr>
          <w:lang w:val="el" w:eastAsia="el"/>
        </w:rPr>
      </w:pPr>
      <w:r>
        <w:rPr>
          <w:b/>
          <w:bCs/>
          <w:lang w:val="el" w:eastAsia="el"/>
        </w:rPr>
        <w:t>«στ. Για τα ιδιωτικά πλοία αναψυχής, ανάλογα με το μήκος τους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16"/>
        <w:gridCol w:w="3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Ολικό μήκος σε μέτρα μέχρι και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7,01 έως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άνω των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bl>
    <w:p>
      <w:pPr>
        <w:spacing w:before="240" w:after="240"/>
        <w:rPr>
          <w:lang w:val="el" w:eastAsia="el"/>
        </w:rPr>
      </w:pPr>
      <w:r>
        <w:rPr>
          <w:b/>
          <w:bCs/>
          <w:lang w:val="el" w:eastAsia="el"/>
        </w:rPr>
        <w:t>»</w:t>
      </w:r>
    </w:p>
    <w:p>
      <w:pPr>
        <w:spacing w:before="240" w:after="240"/>
        <w:rPr>
          <w:lang w:val="el" w:eastAsia="el"/>
        </w:rPr>
      </w:pPr>
      <w:r>
        <w:rPr>
          <w:b/>
          <w:bCs/>
          <w:lang w:val="el" w:eastAsia="el"/>
        </w:rPr>
        <w:t>Με την παρ. 2 του άρθρου 62 του κοινοποιούμενου νόμου ορίζεται ότι η παρ. 1 του ίδιου άρθρου και νόμου ισχύει από το φορολογικό έτος 2023 και εφεξής. Αν ο φόρος αυτός δεν καταβλήθηκε για τα φορολογικά έτη 2020, 2021 και 2022, δεν αναζητείται, και αν καταβλήθηκε, επιστρέφεται, κατόπιν αίτησης του φορολογούμενου.</w:t>
      </w:r>
    </w:p>
    <w:p>
      <w:pPr>
        <w:spacing w:before="240" w:after="240"/>
        <w:rPr>
          <w:lang w:val="el" w:eastAsia="el"/>
        </w:rPr>
      </w:pPr>
      <w:r>
        <w:rPr>
          <w:b/>
          <w:bCs/>
          <w:lang w:val="el" w:eastAsia="el"/>
        </w:rPr>
        <w:t>Με την παρ. 3 του ίδιου ως άνω άρθρου του κοινοποιούμενου νόμου επήλθαν στην περ. α και στο πρώτο εδάφιο της υποπερ. ν) της περ. β της παρ. 1 του άρθρου 44 του ν. 4111/2013 (Α΄ 18), περί επιβολής φόρου πολυτελούς διαβίωσης, οι εξής τροποποιήσεις: οι λέξεις «άνω των πέντε (5) μέτρων» αντικαταστάθηκαν από τις λέξεις «άνω των επτά (7) μέτρων», και η παρ. 1 διαμορφώνεται ως εξής:</w:t>
      </w:r>
    </w:p>
    <w:p>
      <w:pPr>
        <w:spacing w:before="240" w:after="240"/>
        <w:rPr>
          <w:lang w:val="el" w:eastAsia="el"/>
        </w:rPr>
      </w:pPr>
      <w:r>
        <w:rPr>
          <w:b/>
          <w:bCs/>
          <w:lang w:val="el" w:eastAsia="el"/>
        </w:rPr>
        <w:t>«1.α. Επιβάλλεται φόρος πολυτελούς διαβίωσης στα ποσά της ετήσιας αντικειμενικής δαπάνης που προκύπτουν από την κυριότητα ή κατοχή επιβατικών αυτοκινήτων ιδιωτικής χρήσης μεγάλου κυβισμού, αεροσκαφών, ελικοπτέρων και ανεμοπτέρων, δεξαμενών κολύμβησης, καθώς και σκαφών αναψυχής ιδιωτικής χρήσης άνω των επτά (7) μέτρων, όπως αυτά προκύπτουν από τις δηλώσεις φορολογίας εισοδήματος και τα λοιπά επιπλέον στοιχεία που έχει στη διάθεση της η ΓΓΠΣ.</w:t>
      </w:r>
    </w:p>
    <w:p>
      <w:pPr>
        <w:spacing w:before="240" w:after="240"/>
        <w:rPr>
          <w:lang w:val="el" w:eastAsia="el"/>
        </w:rPr>
      </w:pPr>
      <w:r>
        <w:rPr>
          <w:b/>
          <w:bCs/>
          <w:lang w:val="el" w:eastAsia="el"/>
        </w:rPr>
        <w:t>β. Ο φόρος αυτής της παραγράφου που επιβάλλεται στα ποσά της ετήσιας αντικειμενικής δαπάνης της προηγούμενης υποπαραγράφου, υπολογίζεται αναλυτικά ως εξής:</w:t>
      </w:r>
    </w:p>
    <w:p>
      <w:pPr>
        <w:spacing w:before="240" w:after="240"/>
        <w:rPr>
          <w:lang w:val="el" w:eastAsia="el"/>
        </w:rPr>
      </w:pPr>
      <w:r>
        <w:rPr>
          <w:lang w:val="el" w:eastAsia="el"/>
        </w:rPr>
        <w:t xml:space="preserve">i) </w:t>
      </w:r>
      <w:r>
        <w:rPr>
          <w:b/>
          <w:bCs/>
          <w:lang w:val="el" w:eastAsia="el"/>
        </w:rPr>
        <w:t>Για επιβατικά αυτοκίνητα από χίλια εννιακόσια είκοσι εννέα (1.929) κυβικά εκατοστά έως δυόμιση χιλιάδες (2.500) κυβικά, ο φόρος ισούται με το γινόμενο του ποσού της ετήσιας αντικειμενικής δαπάνης επί συντελεστή πέντε τοις εκατό (5%).</w:t>
      </w:r>
    </w:p>
    <w:p>
      <w:pPr>
        <w:spacing w:before="240" w:after="240"/>
        <w:rPr>
          <w:lang w:val="el" w:eastAsia="el"/>
        </w:rPr>
      </w:pPr>
      <w:r>
        <w:rPr>
          <w:lang w:val="el" w:eastAsia="el"/>
        </w:rPr>
        <w:t xml:space="preserve">ii) </w:t>
      </w:r>
      <w:r>
        <w:rPr>
          <w:b/>
          <w:bCs/>
          <w:lang w:val="el" w:eastAsia="el"/>
        </w:rPr>
        <w:t>Για επιβατικά αυτοκίνητα από δυόμιση χιλιάδες (2.500) κυβικά εκατοστά και άνω, ο φόρος ισούται με το γινόμενο του ποσού της ετήσιας αντικειμενικής δαπάνης επί συντελεστή δέκα τρία τοις εκατό (13%).</w:t>
      </w:r>
    </w:p>
    <w:p>
      <w:pPr>
        <w:spacing w:before="240" w:after="240"/>
        <w:rPr>
          <w:lang w:val="el" w:eastAsia="el"/>
        </w:rPr>
      </w:pPr>
      <w:r>
        <w:rPr>
          <w:b/>
          <w:bCs/>
          <w:lang w:val="el" w:eastAsia="el"/>
        </w:rPr>
        <w:t>Από την επιβολή του φόρου πολυτελούς διαβίωσης εξαιρούνται τα επιβατικά αυτοκίνητα ιδιωτικής χρήσης με παλαιότητα άνω των δέκα (10) ετών από το έτος πρώτης κυκλοφορίας τους στην Ελλάδα, ή σε χώρα της Ε.Ε./ΕΟΧ καθώς και τα επιβατικά αυτοκίνητα ιδιωτικής χρήσης αναπήρων, τα οποία απαλλάσσονται από τα τέλη κυκλοφορίας.</w:t>
      </w:r>
    </w:p>
    <w:p>
      <w:pPr>
        <w:spacing w:before="240" w:after="240"/>
        <w:rPr>
          <w:lang w:val="el" w:eastAsia="el"/>
        </w:rPr>
      </w:pPr>
      <w:r>
        <w:rPr>
          <w:b/>
          <w:bCs/>
          <w:lang w:val="el" w:eastAsia="el"/>
        </w:rPr>
        <w:t>Επιπλέον, από το φορολογικό έτος 2019 και εξής, εξαιρούνται από την επιβολή του φόρου πολυτελούς διαβίωσης και τα επιβατικά αυτοκίνητα ιδιωτικής χρήσης πολυτέκνων με τέσσερα (4) τουλάχιστον εξαρτώμενα τέκνα κατά την έννοια της περίπτωσης β’ της παραγράψου 1 του άρθρου 11 του ν. 4172/2013.</w:t>
      </w:r>
    </w:p>
    <w:p>
      <w:pPr>
        <w:spacing w:before="240" w:after="240"/>
        <w:rPr>
          <w:lang w:val="el" w:eastAsia="el"/>
        </w:rPr>
      </w:pPr>
      <w:r>
        <w:rPr>
          <w:lang w:val="el" w:eastAsia="el"/>
        </w:rPr>
        <w:t xml:space="preserve">iii) </w:t>
      </w:r>
      <w:r>
        <w:rPr>
          <w:b/>
          <w:bCs/>
          <w:lang w:val="el" w:eastAsia="el"/>
        </w:rPr>
        <w:t>Για αεροσκάφη, ελικόπτερα και ανεμόπτερα, ο φόρος ισούται με το γινόμενο του ποσού της ετήσιας αντικειμενικής δαπάνης επί συντελεστή δεκατρία τοις εκατό (13%).</w:t>
      </w:r>
    </w:p>
    <w:p>
      <w:pPr>
        <w:spacing w:before="240" w:after="240"/>
        <w:rPr>
          <w:lang w:val="el" w:eastAsia="el"/>
        </w:rPr>
      </w:pPr>
      <w:r>
        <w:rPr>
          <w:lang w:val="el" w:eastAsia="el"/>
        </w:rPr>
        <w:t xml:space="preserve">iv) </w:t>
      </w:r>
      <w:r>
        <w:rPr>
          <w:b/>
          <w:bCs/>
          <w:lang w:val="el" w:eastAsia="el"/>
        </w:rPr>
        <w:t>Για δεξαμενές κολύμβησης, εσωτερικές και εξωτερικές, ο φόρος ισούται με το γινόμενο του ποσού της ετήσιας αντικειμενικής δαπάνης επί συντελεστή δέκα τρία τοις εκατό (13%).</w:t>
      </w:r>
    </w:p>
    <w:p>
      <w:pPr>
        <w:spacing w:before="240" w:after="240"/>
        <w:rPr>
          <w:lang w:val="el" w:eastAsia="el"/>
        </w:rPr>
      </w:pPr>
      <w:r>
        <w:rPr>
          <w:lang w:val="el" w:eastAsia="el"/>
        </w:rPr>
        <w:t xml:space="preserve">v) </w:t>
      </w:r>
      <w:r>
        <w:rPr>
          <w:b/>
          <w:bCs/>
          <w:lang w:val="el" w:eastAsia="el"/>
        </w:rPr>
        <w:t>Για τα σκάφη αναψυχής ιδιωτικής χρήσης άνω των επτά (7) μέτρων, ο φόρος ισούται με το γινόμενο του ποσού της ετήσιας αντικειμενικής δαπάνης του σκάφους επί συντελεστή δεκατρία τοις εκατό (13%). Δεν λαμβάνεται υπόψη η δαπάνη για την αμοιβή του πληρώματος. Από το φόρο της περίπτωσης ν) εξαιρούνται τα ιστιοφόρα σκάφη και πλοία αναψυχής που έχουν κατασκευαστεί ή κατασκευάζονται στην Ελλάδα εξ ολοκλήρου από ξύλο, τύπον τρεχαντήρι, βαρκαλάς, πέραμα, τσερνίκι, λίμπερτυ τα οποία προέρχονται από ελληνική ναυτική παράδοση.</w:t>
      </w:r>
    </w:p>
    <w:p>
      <w:pPr>
        <w:spacing w:before="240" w:after="240"/>
        <w:rPr>
          <w:lang w:val="el" w:eastAsia="el"/>
        </w:rPr>
      </w:pPr>
      <w:r>
        <w:rPr>
          <w:b/>
          <w:bCs/>
          <w:lang w:val="el" w:eastAsia="el"/>
        </w:rPr>
        <w:t>γ. Ο φόρος πολυτελούς διαβίωσης βεβαιώνεται με βάση τις δηλώσεις που υποβάλλονται και εμφανίζεται στο εκκαθαριστικό σημείωμα υπολογισμού του φόρου εισοδήματος κάθε οικονομικού έτους. Βεβαιώνεται επίσης με φύλλα ελέγχου, εφόσον αυτά έχουν οριστικοποιηθεί με διοικητική επίλυση της διαφοράς ή λόγω μη άσκησης ή εκπρόθεσμης άσκησης προσφυγής και με οριστικές αποφάσεις διοικητικών δικαστηρίων ή πρακτικών δικαστικού συμβιβασμού. Για την καταβολή του ποσού του φόρου της παρούσας παραγράφου εφαρμόζονται οι διατάξεις περί καταβολής του φόρου εισοδήματος για τα φυσικά πρόσωπα.</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δ. Η προθεσμία άσκησης της προσφυγής ή υποβολής αίτησης για διοικητική επίλυση της διαφοράς, καθώς και η άσκηση της προσφυγής ενώπιον του αρμόδιου διοικητικού πρωτοδικείου, δεν αναστέλλουν τη βεβαίωση και την είσπραξη της οφειλής που προκύπτει από την εφαρμογή των διατάξεων των περιπτώσεων α’, β’ και γ’ του παρόντος.</w:t>
      </w:r>
    </w:p>
    <w:p>
      <w:pPr>
        <w:spacing w:before="240" w:after="240"/>
        <w:rPr>
          <w:lang w:val="el" w:eastAsia="el"/>
        </w:rPr>
      </w:pPr>
      <w:r>
        <w:rPr>
          <w:b/>
          <w:bCs/>
          <w:lang w:val="el" w:eastAsia="el"/>
        </w:rPr>
        <w:t>ε. Με αποφάσεις του Υπουργού Εθνικής Οικονομίας και Οικονομικών μπορεί να καθορίζονται τυχόν απαιτούμενες πρόσθετες λεπτομέρειες και θέματα της διαδικασίας εφαρμογής των διατάξεων του φόρου πολυτελούς διαβίωσης.</w:t>
      </w:r>
    </w:p>
    <w:p>
      <w:pPr>
        <w:spacing w:before="240" w:after="240"/>
        <w:rPr>
          <w:lang w:val="el" w:eastAsia="el"/>
        </w:rPr>
      </w:pPr>
      <w:r>
        <w:rPr>
          <w:b/>
          <w:bCs/>
          <w:lang w:val="el" w:eastAsia="el"/>
        </w:rPr>
        <w:t>στ. 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spacing w:before="240" w:after="240"/>
        <w:rPr>
          <w:lang w:val="el" w:eastAsia="el"/>
        </w:rPr>
      </w:pPr>
      <w:r>
        <w:rPr>
          <w:b/>
          <w:bCs/>
          <w:lang w:val="el" w:eastAsia="el"/>
        </w:rPr>
        <w:t>Στην παρ. 4 του άρθρου 62 του κοινοποιούμενου νόμου ορίζεται ότι η παρ. 3 ισχύει από το φορολογικό έτος 2024 και εφεξής.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«Παράταση προθεσμίας ως προς εκκρεμείς διαδικασίες ειδικής διαχείρισης - Τροποποίηση παρ. 1Α άρθρου 76 ν. 4307/2014»</w:t>
      </w:r>
    </w:p>
    <w:p>
      <w:pPr>
        <w:spacing w:before="240" w:after="240"/>
        <w:rPr>
          <w:lang w:val="el" w:eastAsia="el"/>
        </w:rPr>
      </w:pPr>
      <w:r>
        <w:rPr>
          <w:b/>
          <w:bCs/>
          <w:lang w:val="el" w:eastAsia="el"/>
        </w:rPr>
        <w:t>Με το άρθρο 70 του κοινοποιούμενου νόμου επήλθαν στην παρ. 1Α του άρθρου 76 του ν. 4307/2014 (Α΄ 246) οι ακόλουθες τροποποιήσεις: α) οι λέξεις «αν τελούν ήδη σε παράταση» αντικαταστάθηκαν από τις λέξεις «αν τελούν σε παράταση την 30ή Ιουνίου 2024», β) η ημερομηνία «30ής Ιουνίου 2024» αντικαταστάθηκε από την ημερομηνία «30ής Ιουνίου 2025» και η παρ. 1Α διαμορφώθηκε ως εξής:</w:t>
      </w:r>
    </w:p>
    <w:p>
      <w:pPr>
        <w:spacing w:before="240" w:after="240"/>
        <w:rPr>
          <w:lang w:val="el" w:eastAsia="el"/>
        </w:rPr>
      </w:pPr>
      <w:r>
        <w:rPr>
          <w:lang w:val="el" w:eastAsia="el"/>
        </w:rPr>
        <w:t xml:space="preserve">«1Α </w:t>
      </w:r>
      <w:r>
        <w:rPr>
          <w:b/>
          <w:bCs/>
          <w:lang w:val="el" w:eastAsia="el"/>
        </w:rPr>
        <w:t>. Οι διαδικασίες ειδικής διαχείρισης του τέταρτου εδαφίου της παρ. 1, αν τελούν σε παράταση την 30ή Ιουνίου 2024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και πάντως όχι πέραν της 30ής Ιουνίου 2025.».</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 1 του άρθρου 73 του κοινοποιούμενου νόμου η ισχύς αυτού αρχίζει από τη δημοσίευσή του στην Εφημερίδα της Κυβερνήσεως (30/9/2024), υπό την επιφύλαξη των παρ. 2 έως 5 του ίδιου άρθρου, οι οποίες όμως δεν αφορούν τις ως άνω κοινοποιούμενες διατάξεις.</w:t>
      </w:r>
    </w:p>
    <w:p>
      <w:pPr>
        <w:spacing w:before="240" w:after="240"/>
        <w:rPr>
          <w:lang w:val="el" w:eastAsia="el"/>
        </w:rPr>
      </w:pPr>
      <w:r>
        <w:rPr>
          <w:b/>
          <w:bCs/>
          <w:lang w:val="el" w:eastAsia="el"/>
        </w:rPr>
        <w:t>Συνημμένα: Απόσπασμα του ΦΕΚ Α΄154/30.9.2024: άρθρα 57, 62, 70 και 73 του ν. 5140/2024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Α,Β,Γ,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