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ΔΙΕΥΘΥΝΣΗ ΕΦΑΡΜΟΓΗΣ ΕΜΜΕΣΗΣ</w:t>
      </w:r>
    </w:p>
    <w:p>
      <w:pPr>
        <w:pStyle w:val="PreambelText"/>
        <w:spacing w:before="240" w:after="240"/>
        <w:rPr>
          <w:lang w:val="el" w:eastAsia="el"/>
        </w:rPr>
      </w:pPr>
      <w:r>
        <w:rPr>
          <w:b/>
          <w:bCs/>
          <w:lang w:val="el" w:eastAsia="el"/>
        </w:rPr>
        <w:t>ΦΟΡΟΛΟΓΙΑΣ (Δ.Ε.Ε.Φ.)</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sz w:val="30"/>
          <w:szCs w:val="30"/>
          <w:vertAlign w:val="subscript"/>
          <w:lang w:val="el" w:eastAsia="el"/>
        </w:rPr>
        <w:t>Τ</w:t>
      </w:r>
      <w:r>
        <w:rPr>
          <w:b/>
          <w:bCs/>
          <w:lang w:val="el" w:eastAsia="el"/>
        </w:rPr>
        <w:t>α</w:t>
      </w:r>
      <w:r>
        <w:rPr>
          <w:b/>
          <w:bCs/>
          <w:sz w:val="30"/>
          <w:szCs w:val="30"/>
          <w:vertAlign w:val="subscript"/>
          <w:lang w:val="el" w:eastAsia="el"/>
        </w:rPr>
        <w:t>χ. Δ/ν</w:t>
      </w:r>
      <w:r>
        <w:rPr>
          <w:b/>
          <w:bCs/>
          <w:lang w:val="el" w:eastAsia="el"/>
        </w:rPr>
        <w:t xml:space="preserve">ση </w:t>
      </w:r>
      <w:r>
        <w:rPr>
          <w:b/>
          <w:bCs/>
          <w:sz w:val="30"/>
          <w:szCs w:val="30"/>
          <w:vertAlign w:val="subscript"/>
          <w:lang w:val="el" w:eastAsia="el"/>
        </w:rPr>
        <w:t>:</w:t>
      </w:r>
      <w:r>
        <w:rPr>
          <w:b/>
          <w:bCs/>
          <w:lang w:val="el" w:eastAsia="el"/>
        </w:rPr>
        <w:t xml:space="preserve"> Πειραιώς 180</w:t>
      </w:r>
    </w:p>
    <w:p>
      <w:pPr>
        <w:pStyle w:val="PreambelText"/>
        <w:spacing w:before="240" w:after="240"/>
        <w:rPr>
          <w:lang w:val="el" w:eastAsia="el"/>
        </w:rPr>
      </w:pPr>
      <w:r>
        <w:rPr>
          <w:b/>
          <w:bCs/>
          <w:lang w:val="el" w:eastAsia="el"/>
        </w:rPr>
        <w:t>Τ.Κ. : 17778 Ταύρος</w:t>
      </w:r>
    </w:p>
    <w:p>
      <w:pPr>
        <w:pStyle w:val="PreambelText"/>
        <w:spacing w:before="240" w:after="240"/>
        <w:rPr>
          <w:lang w:val="el" w:eastAsia="el"/>
        </w:rPr>
      </w:pPr>
      <w:r>
        <w:rPr>
          <w:b/>
          <w:bCs/>
          <w:lang w:val="el" w:eastAsia="el"/>
        </w:rPr>
        <w:t>Τηλέφωνο : 2131410671,672,664</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deef@ aade.gr</w:t>
        </w:r>
      </w:hyperlink>
    </w:p>
    <w:p>
      <w:pPr>
        <w:pStyle w:val="PreambelText"/>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Κοινοποίηση των διατάξεων του ν. 5144/2024 (Α΄ 162) «Κώδικας Φόρου</w:t>
      </w:r>
    </w:p>
    <w:p>
      <w:pPr>
        <w:pStyle w:val="PreambelText"/>
        <w:spacing w:before="240" w:after="240"/>
        <w:rPr>
          <w:lang w:val="el" w:eastAsia="el"/>
        </w:rPr>
      </w:pPr>
      <w:r>
        <w:rPr>
          <w:b/>
          <w:bCs/>
          <w:lang w:val="el" w:eastAsia="el"/>
        </w:rPr>
        <w:t>Προστιθέμενης Αξίας»</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του ν. 5144/2024 (Α΄ 162) με τον οποίον κυρώνεται ο Κώδικας Φόρου Προστιθέμενης Αξίας.</w:t>
      </w:r>
    </w:p>
    <w:p>
      <w:pPr>
        <w:pStyle w:val="enacting"/>
        <w:spacing w:before="120" w:after="0"/>
        <w:rPr>
          <w:lang w:val="el" w:eastAsia="el"/>
        </w:rPr>
      </w:pPr>
      <w:r>
        <w:rPr>
          <w:b/>
          <w:bCs/>
          <w:lang w:val="el" w:eastAsia="el"/>
        </w:rPr>
        <w:t>Β)ΠΕΡΙΕΧΟΜΕΝΟ</w:t>
      </w:r>
    </w:p>
    <w:p>
      <w:pPr>
        <w:pStyle w:val="PreambelText"/>
        <w:spacing w:before="240" w:after="240"/>
        <w:rPr>
          <w:lang w:val="el" w:eastAsia="el"/>
        </w:rPr>
      </w:pPr>
      <w:r>
        <w:rPr>
          <w:b/>
          <w:bCs/>
          <w:lang w:val="el" w:eastAsia="el"/>
        </w:rPr>
        <w:t>Κοινοποίηση:</w:t>
      </w:r>
    </w:p>
    <w:p>
      <w:pPr>
        <w:pStyle w:val="StructureList1"/>
        <w:spacing w:before="120" w:after="0"/>
        <w:rPr>
          <w:lang w:val="el" w:eastAsia="el"/>
        </w:rPr>
      </w:pPr>
      <w:r>
        <w:rPr>
          <w:b/>
          <w:bCs/>
          <w:lang w:val="el" w:eastAsia="el"/>
        </w:rPr>
        <w:t>α)</w:t>
      </w:r>
      <w:r>
        <w:rPr>
          <w:b/>
          <w:bCs/>
          <w:lang w:val="en" w:eastAsia="en"/>
        </w:rPr>
        <w:tab/>
      </w:r>
      <w:r>
        <w:rPr>
          <w:b/>
          <w:bCs/>
          <w:lang w:val="el" w:eastAsia="el"/>
        </w:rPr>
        <w:t>των διατάξεων του πρώτου άρθρου του ν. 5144/2024 με το οποίο κυρώνεται ο Κώδικας Φόρου Προστιθέμενης Αξίας ο οποίος διαρθρώνεται ως εξής :</w:t>
      </w:r>
    </w:p>
    <w:p>
      <w:pPr>
        <w:pStyle w:val="StructureList1"/>
        <w:spacing w:before="120" w:after="0"/>
        <w:rPr>
          <w:lang w:val="el" w:eastAsia="el"/>
        </w:rPr>
      </w:pPr>
      <w:r>
        <w:rPr>
          <w:b/>
          <w:bCs/>
          <w:lang w:val="el" w:eastAsia="el"/>
        </w:rPr>
        <w:t>-</w:t>
      </w:r>
      <w:r>
        <w:rPr>
          <w:b/>
          <w:bCs/>
          <w:lang w:val="en" w:eastAsia="en"/>
        </w:rPr>
        <w:tab/>
      </w:r>
      <w:r>
        <w:rPr>
          <w:b/>
          <w:bCs/>
          <w:lang w:val="el" w:eastAsia="el"/>
        </w:rPr>
        <w:t>ΤΜΗΜΑ Ι ΟΥΣΙΑΣΤΙΚΕΣ ΔΙΑΤΑΞΕΙΣ</w:t>
      </w:r>
    </w:p>
    <w:p>
      <w:pPr>
        <w:pStyle w:val="PreambelText"/>
        <w:spacing w:before="240" w:after="240"/>
        <w:rPr>
          <w:lang w:val="el" w:eastAsia="el"/>
        </w:rPr>
      </w:pPr>
      <w:r>
        <w:rPr>
          <w:b/>
          <w:bCs/>
          <w:lang w:val="el" w:eastAsia="el"/>
        </w:rPr>
        <w:t xml:space="preserve">• </w:t>
      </w:r>
      <w:r>
        <w:rPr>
          <w:b/>
          <w:bCs/>
          <w:lang w:val="el" w:eastAsia="el"/>
        </w:rPr>
        <w:t>ΚΕΦΑΛΑΙΟ Α΄ ΠΕΔΙΟ ΕΦΑΡΜΟΓΗΣ (άρθρα 1-4)</w:t>
      </w:r>
    </w:p>
    <w:p>
      <w:pPr>
        <w:pStyle w:val="PreambelText"/>
        <w:spacing w:before="240" w:after="240"/>
        <w:rPr>
          <w:lang w:val="el" w:eastAsia="el"/>
        </w:rPr>
      </w:pPr>
      <w:r>
        <w:rPr>
          <w:b/>
          <w:bCs/>
          <w:lang w:val="el" w:eastAsia="el"/>
        </w:rPr>
        <w:t xml:space="preserve">• </w:t>
      </w:r>
      <w:r>
        <w:rPr>
          <w:b/>
          <w:bCs/>
          <w:lang w:val="el" w:eastAsia="el"/>
        </w:rPr>
        <w:t>ΚΕΦΑΛΑΙΟ Β΄ ΦΟΡΟΛΟΓΗΤΕΕΣ (άρθρα 5-16)</w:t>
      </w:r>
    </w:p>
    <w:p>
      <w:pPr>
        <w:pStyle w:val="PreambelText"/>
        <w:spacing w:before="240" w:after="240"/>
        <w:rPr>
          <w:lang w:val="el" w:eastAsia="el"/>
        </w:rPr>
      </w:pPr>
      <w:r>
        <w:rPr>
          <w:b/>
          <w:bCs/>
          <w:lang w:val="el" w:eastAsia="el"/>
        </w:rPr>
        <w:t xml:space="preserve">• </w:t>
      </w:r>
      <w:r>
        <w:rPr>
          <w:b/>
          <w:bCs/>
          <w:lang w:val="el" w:eastAsia="el"/>
        </w:rPr>
        <w:t>ΚΕΦΑΛΑΙΟ Γ΄ΤΟΠΟΣ ΠΡΑΓΜΑΤΟΠΟΙΗΣΗΣ ΦΟΡΟΛΟΓΗΤΕΩΝ ΠΡΑΞΕΩΝ (άρθρα 17-20)</w:t>
      </w:r>
    </w:p>
    <w:p>
      <w:pPr>
        <w:pStyle w:val="PreambelText"/>
        <w:spacing w:before="240" w:after="240"/>
        <w:rPr>
          <w:lang w:val="el" w:eastAsia="el"/>
        </w:rPr>
      </w:pPr>
      <w:r>
        <w:rPr>
          <w:b/>
          <w:bCs/>
          <w:lang w:val="el" w:eastAsia="el"/>
        </w:rPr>
        <w:t xml:space="preserve">• </w:t>
      </w:r>
      <w:r>
        <w:rPr>
          <w:b/>
          <w:bCs/>
          <w:lang w:val="el" w:eastAsia="el"/>
        </w:rPr>
        <w:t>ΚΕΦΑΛΑΙΟ Δ΄ ΓΕΝΕΣΗ ΤΗΣ ΦΟΡΟΛΟΓΙΚΗΣ ΥΠΟΧΡΕΩΣΗΣ ΚΑΙ ΑΠΑΙΤΗΤΟ ΤΟΥ ΦΟΡΟΥ (άρθρα 21-23)</w:t>
      </w:r>
    </w:p>
    <w:p>
      <w:pPr>
        <w:pStyle w:val="PreambelText"/>
        <w:spacing w:before="240" w:after="240"/>
        <w:rPr>
          <w:lang w:val="el" w:eastAsia="el"/>
        </w:rPr>
      </w:pPr>
      <w:r>
        <w:rPr>
          <w:b/>
          <w:bCs/>
          <w:lang w:val="el" w:eastAsia="el"/>
        </w:rPr>
        <w:t xml:space="preserve">• </w:t>
      </w:r>
      <w:r>
        <w:rPr>
          <w:b/>
          <w:bCs/>
          <w:lang w:val="el" w:eastAsia="el"/>
        </w:rPr>
        <w:t>ΚΕΦΑΛΑΙΟ Ε΄ ΦΟΡΟΛΟΓΗΤΕΑ ΑΞΙΑ ΚΑΙ ΥΠΟΛΟΓΙΣΜΟΣ ΤΟΥ ΦΟΡΟΥ (άρθρα 24-26)</w:t>
      </w:r>
    </w:p>
    <w:p>
      <w:pPr>
        <w:pStyle w:val="PreambelText"/>
        <w:spacing w:before="240" w:after="240"/>
        <w:rPr>
          <w:lang w:val="el" w:eastAsia="el"/>
        </w:rPr>
      </w:pPr>
      <w:r>
        <w:rPr>
          <w:b/>
          <w:bCs/>
          <w:lang w:val="el" w:eastAsia="el"/>
        </w:rPr>
        <w:t xml:space="preserve">• </w:t>
      </w:r>
      <w:r>
        <w:rPr>
          <w:b/>
          <w:bCs/>
          <w:lang w:val="el" w:eastAsia="el"/>
        </w:rPr>
        <w:t>ΚΕΦΑΛΑΙΟ ΣΤ΄ ΑΠΑΛΛΑΓΕΣ ΑΠΟ ΤΟΝ ΦΟΡΟ (άρθρα 27-34)</w:t>
      </w:r>
    </w:p>
    <w:p>
      <w:pPr>
        <w:pStyle w:val="PreambelText"/>
        <w:spacing w:before="240" w:after="240"/>
        <w:rPr>
          <w:lang w:val="el" w:eastAsia="el"/>
        </w:rPr>
      </w:pPr>
      <w:r>
        <w:rPr>
          <w:b/>
          <w:bCs/>
          <w:lang w:val="el" w:eastAsia="el"/>
        </w:rPr>
        <w:t xml:space="preserve">• </w:t>
      </w:r>
      <w:r>
        <w:rPr>
          <w:b/>
          <w:bCs/>
          <w:lang w:val="el" w:eastAsia="el"/>
        </w:rPr>
        <w:t>ΚΕΦΑΛΑΙΟ Ζ΄ ΕΚΠΤΩΣΗ - ΕΠΙΣΤΡΟΦΗ ΤΟΥ ΦΟΡΟΥ (άρθρα 35-39)</w:t>
      </w:r>
    </w:p>
    <w:p>
      <w:pPr>
        <w:pStyle w:val="PreambelText"/>
        <w:spacing w:before="240" w:after="240"/>
        <w:rPr>
          <w:lang w:val="el" w:eastAsia="el"/>
        </w:rPr>
      </w:pPr>
      <w:r>
        <w:rPr>
          <w:b/>
          <w:bCs/>
          <w:lang w:val="el" w:eastAsia="el"/>
        </w:rPr>
        <w:t xml:space="preserve">• </w:t>
      </w:r>
      <w:r>
        <w:rPr>
          <w:b/>
          <w:bCs/>
          <w:lang w:val="el" w:eastAsia="el"/>
        </w:rPr>
        <w:t>ΚΕΦΑΛΑΙΟ Η΄ΥΠΟΧΡΕΟΙ ΣΤΟΝ ΦΟΡΟ ΚΑΙ ΥΠΟΧΡΕΩΣΕΙΣ ΑΥΤΩΝ (άρθρα 40-43)</w:t>
      </w:r>
    </w:p>
    <w:p>
      <w:pPr>
        <w:pStyle w:val="PreambelText"/>
        <w:spacing w:before="240" w:after="240"/>
        <w:rPr>
          <w:lang w:val="el" w:eastAsia="el"/>
        </w:rPr>
      </w:pPr>
      <w:r>
        <w:rPr>
          <w:b/>
          <w:bCs/>
          <w:lang w:val="el" w:eastAsia="el"/>
        </w:rPr>
        <w:t xml:space="preserve">• </w:t>
      </w:r>
      <w:r>
        <w:rPr>
          <w:b/>
          <w:bCs/>
          <w:lang w:val="el" w:eastAsia="el"/>
        </w:rPr>
        <w:t>ΚΕΦΑΛΑΙΟ Θ΄ΕΙΔΙΚΑ ΚΑΘΕΣΤΩΤΑ (άρθρα 45-60)</w:t>
      </w:r>
    </w:p>
    <w:p>
      <w:pPr>
        <w:pStyle w:val="StructureList1"/>
        <w:spacing w:before="120" w:after="0"/>
        <w:rPr>
          <w:lang w:val="el" w:eastAsia="el"/>
        </w:rPr>
      </w:pPr>
      <w:r>
        <w:rPr>
          <w:b/>
          <w:bCs/>
          <w:lang w:val="el" w:eastAsia="el"/>
        </w:rPr>
        <w:t>-</w:t>
      </w:r>
      <w:r>
        <w:rPr>
          <w:b/>
          <w:bCs/>
          <w:lang w:val="en" w:eastAsia="en"/>
        </w:rPr>
        <w:tab/>
      </w:r>
      <w:r>
        <w:rPr>
          <w:b/>
          <w:bCs/>
          <w:lang w:val="el" w:eastAsia="el"/>
        </w:rPr>
        <w:t>ΤΜΗΜΑ ΙΙ ΕΙΔΙΚΕΣ ΔΙΑΔΙΚΑΣΤΙΚΕΣ ΔΙΑΤΑΞΕΙΣ ΠΕΡΙ ΑΚΙΝΗΤΩΝ ΚΑΙ ΛΟΙΠΕΣ ΔΙΑΔΙΚΑΣΤΙΚΕΣ ΔΙΑΤΑΞΕΙΣ</w:t>
      </w:r>
    </w:p>
    <w:p>
      <w:pPr>
        <w:pStyle w:val="PreambelText"/>
        <w:spacing w:before="240" w:after="240"/>
        <w:rPr>
          <w:lang w:val="el" w:eastAsia="el"/>
        </w:rPr>
      </w:pPr>
      <w:r>
        <w:rPr>
          <w:b/>
          <w:bCs/>
          <w:lang w:val="el" w:eastAsia="el"/>
        </w:rPr>
        <w:t xml:space="preserve">• </w:t>
      </w:r>
      <w:r>
        <w:rPr>
          <w:b/>
          <w:bCs/>
          <w:lang w:val="el" w:eastAsia="el"/>
        </w:rPr>
        <w:t>ΚΕΦΑΛΑΙΟ Α΄ ΔΙΑΔΙΚΑΣΙΑ ΕΛΕΓΧΟΥ ΚΑΙ ΠΡΟΣΔΙΟΡΙΣΜΟΥ ΤΟΥ ΦΟΡΟΥ ΕΠΙ ΕΙΔΙΚΗΣ ΔΗΛΩΣΗΣ ΦΟΡΟΥ ΠΡΟΣΤΙΘΕΜΕΝΗΣ ΑΞΙΑΣ ΑΚΙΝΗΤΩΝ (άρθρα 61-63)</w:t>
      </w:r>
    </w:p>
    <w:p>
      <w:pPr>
        <w:pStyle w:val="PreambelText"/>
        <w:spacing w:before="240" w:after="240"/>
        <w:rPr>
          <w:lang w:val="el" w:eastAsia="el"/>
        </w:rPr>
      </w:pPr>
      <w:r>
        <w:rPr>
          <w:b/>
          <w:bCs/>
          <w:lang w:val="el" w:eastAsia="el"/>
        </w:rPr>
        <w:t xml:space="preserve">• </w:t>
      </w:r>
      <w:r>
        <w:rPr>
          <w:b/>
          <w:bCs/>
          <w:lang w:val="el" w:eastAsia="el"/>
        </w:rPr>
        <w:t>ΚΕΦΑΛΑΙΟ Β΄ ΛΟΙΠΕΣ ΔΙΑΔΙΚΑΣΤΙΚΕΣ ΔΙΑΤΑΞΕΙΣ (άρθρα 64-66)</w:t>
      </w:r>
    </w:p>
    <w:p>
      <w:pPr>
        <w:pStyle w:val="PreambelText"/>
        <w:spacing w:before="240" w:after="240"/>
        <w:rPr>
          <w:lang w:val="el" w:eastAsia="el"/>
        </w:rPr>
      </w:pPr>
      <w:r>
        <w:rPr>
          <w:b/>
          <w:bCs/>
          <w:lang w:val="el" w:eastAsia="el"/>
        </w:rPr>
        <w:t xml:space="preserve">• </w:t>
      </w:r>
      <w:r>
        <w:rPr>
          <w:b/>
          <w:bCs/>
          <w:lang w:val="el" w:eastAsia="el"/>
        </w:rPr>
        <w:t>ΚΕΦΑΛΑΙΟ Γ΄ΕΙΔΙΚΗ ΔΙΑΔΙΚΑΣΙΑ ΒΕΒΑΙΩΣΗΣ ΚΑΙ ΕΙΣΠΡΑΞΗΣ ΤΟΥ ΦΟΡΟΥ ΚΑΤΑ ΤΗΝ ΕΙΣΑΓΩΓΗ (Άρθρο 67)</w:t>
      </w:r>
    </w:p>
    <w:p>
      <w:pPr>
        <w:pStyle w:val="PreambelText"/>
        <w:spacing w:before="240" w:after="240"/>
        <w:rPr>
          <w:lang w:val="el" w:eastAsia="el"/>
        </w:rPr>
      </w:pPr>
      <w:r>
        <w:rPr>
          <w:b/>
          <w:bCs/>
          <w:lang w:val="el" w:eastAsia="el"/>
        </w:rPr>
        <w:t xml:space="preserve">• </w:t>
      </w:r>
      <w:r>
        <w:rPr>
          <w:b/>
          <w:bCs/>
          <w:lang w:val="el" w:eastAsia="el"/>
        </w:rPr>
        <w:t>ΚΕΦΑΛΑΙΟ Δ΄ΕΙΔΙΚΗ ΔΙΑΔΙΚΑΣΙΑ ΓΙΑ ΤΙΣ ΣΥΝΑΛΛΑΓΕΣ ΜΕ ΤΑ ΑΝΑΦΕΡΟΜΕΝΑ ΣΤΟ ΠΑΡΑΡΤΗΜΑ ΙΙ ΕΔΑΦΗ (Άρθρο 68)</w:t>
      </w:r>
    </w:p>
    <w:p>
      <w:pPr>
        <w:pStyle w:val="StructureList1"/>
        <w:spacing w:before="120" w:after="0"/>
        <w:rPr>
          <w:lang w:val="el" w:eastAsia="el"/>
        </w:rPr>
      </w:pPr>
      <w:r>
        <w:rPr>
          <w:b/>
          <w:bCs/>
          <w:lang w:val="el" w:eastAsia="el"/>
        </w:rPr>
        <w:t>-</w:t>
      </w:r>
      <w:r>
        <w:rPr>
          <w:b/>
          <w:bCs/>
          <w:lang w:val="en" w:eastAsia="en"/>
        </w:rPr>
        <w:tab/>
      </w:r>
      <w:r>
        <w:rPr>
          <w:b/>
          <w:bCs/>
          <w:lang w:val="el" w:eastAsia="el"/>
        </w:rPr>
        <w:t>ΤΜΗΜΑ ΙΙΙ ΛΟΙΠΕΣ ΡΥΘΜΙΣΕΙΣ - ΜΕΤΑΒΑΤΙΚΕΣ - ΤΕΛΙΚΕΣ ΔΙΑΤΑΞΕΙΣ (άρθρα 69-71)</w:t>
      </w:r>
    </w:p>
    <w:p>
      <w:pPr>
        <w:pStyle w:val="StructureList1"/>
        <w:spacing w:before="120" w:after="0"/>
        <w:rPr>
          <w:lang w:val="el" w:eastAsia="el"/>
        </w:rPr>
      </w:pPr>
      <w:r>
        <w:rPr>
          <w:b/>
          <w:bCs/>
          <w:lang w:val="el" w:eastAsia="el"/>
        </w:rPr>
        <w:t>-</w:t>
      </w:r>
      <w:r>
        <w:rPr>
          <w:b/>
          <w:bCs/>
          <w:lang w:val="en" w:eastAsia="en"/>
        </w:rPr>
        <w:tab/>
      </w:r>
      <w:r>
        <w:rPr>
          <w:b/>
          <w:bCs/>
          <w:lang w:val="el" w:eastAsia="el"/>
        </w:rPr>
        <w:t>ΠΑΡΑΡΤΗΜΑΤΑ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διατάξεων του δευτέρου άρθρου του ν. 5144/2024 το οποίο αφορά στην έναρξη ισχύος των διατάξεων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παραρτήματος κωδικοποιητικών και κωδικοποιούμενων διατάξεων.</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Το πρώτο άρθρο αφορά στα φυσικά και νομικά πρόσωπα/οντότητες, υποκείμενους στο φόρο.</w:t>
      </w:r>
    </w:p>
    <w:p>
      <w:pPr>
        <w:pStyle w:val="PreambelText"/>
        <w:spacing w:before="240" w:after="240"/>
        <w:rPr>
          <w:lang w:val="el" w:eastAsia="el"/>
        </w:rPr>
      </w:pPr>
      <w:r>
        <w:rPr>
          <w:b/>
          <w:bCs/>
          <w:lang w:val="el" w:eastAsia="el"/>
        </w:rPr>
        <w:t>Το δεύτερο άρθρο αφορά στην έναρξη ισχύος των διατάξεων του ν. 5144/2024</w:t>
      </w:r>
    </w:p>
    <w:p>
      <w:pPr>
        <w:pStyle w:val="PreambelText"/>
        <w:spacing w:before="240" w:after="240"/>
        <w:rPr>
          <w:lang w:val="el" w:eastAsia="el"/>
        </w:rPr>
      </w:pPr>
      <w:r>
        <w:rPr>
          <w:b/>
          <w:bCs/>
          <w:lang w:val="el" w:eastAsia="el"/>
        </w:rPr>
        <w:t>Το παράρτημα περιέχει κωδικοποιητικές και κωδικοποιούμενες διατάξεις.</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του ν. 5144/2024 (Α΄162) «Κώδικας Φόρου Προστιθέμενης Αξίας» ως εξής:</w:t>
      </w:r>
    </w:p>
    <w:p>
      <w:pPr>
        <w:pStyle w:val="Heading6"/>
        <w:spacing w:before="240" w:after="240"/>
        <w:rPr>
          <w:lang w:val="el" w:eastAsia="el"/>
        </w:rPr>
      </w:pPr>
      <w:r>
        <w:rPr>
          <w:b/>
          <w:bCs/>
          <w:lang w:val="el" w:eastAsia="el"/>
        </w:rPr>
        <w:t xml:space="preserve">Άρθρο πρώτο </w:t>
      </w:r>
    </w:p>
    <w:p>
      <w:pPr>
        <w:pStyle w:val="Heading6"/>
        <w:spacing w:before="240" w:after="240"/>
        <w:rPr>
          <w:lang w:val="el" w:eastAsia="el"/>
        </w:rPr>
      </w:pPr>
      <w:r>
        <w:rPr>
          <w:b/>
          <w:bCs/>
          <w:lang w:val="el" w:eastAsia="el"/>
        </w:rPr>
        <w:t>«Κύρωση Κώδικα Φόρου Προστιθέμενης Αξίας»</w:t>
      </w:r>
    </w:p>
    <w:p>
      <w:pPr>
        <w:spacing w:before="240" w:after="240"/>
        <w:rPr>
          <w:lang w:val="el" w:eastAsia="el"/>
        </w:rPr>
      </w:pPr>
      <w:r>
        <w:rPr>
          <w:b/>
          <w:bCs/>
          <w:lang w:val="el" w:eastAsia="el"/>
        </w:rPr>
        <w:t>Με το πρώτο άρθρο του κοινοποιούμενου νόμου κυρώθηκε με τη διαδικασία της παρ. 6 του άρθρου 76 του Συντάγματος ο Κώδικας Φόρου Προστιθέμενης Αξίας (ΦΠΑ) ο οποίος διαρθρώνεται ως εξής:</w:t>
      </w:r>
    </w:p>
    <w:p>
      <w:pPr>
        <w:pStyle w:val="Heading1"/>
        <w:spacing w:before="240" w:after="240"/>
        <w:rPr>
          <w:lang w:val="el" w:eastAsia="el"/>
        </w:rPr>
      </w:pPr>
      <w:r>
        <w:rPr>
          <w:b/>
          <w:bCs/>
          <w:u w:val="single"/>
          <w:lang w:val="el" w:eastAsia="el"/>
        </w:rPr>
        <w:t xml:space="preserve">ΤΜΗΜΑ Ι </w:t>
      </w:r>
    </w:p>
    <w:p>
      <w:pPr>
        <w:pStyle w:val="Heading1"/>
        <w:spacing w:before="240" w:after="240"/>
        <w:rPr>
          <w:lang w:val="el" w:eastAsia="el"/>
        </w:rPr>
      </w:pPr>
      <w:r>
        <w:rPr>
          <w:b/>
          <w:bCs/>
          <w:u w:val="single"/>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Επιβολή του φόρου</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Υποκείμενοι στον φόρο</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Οικονομική δραστηριότητα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ΦΟΡΟΛΟΓΗΤΕΕΣ ΠΡΑΞΕΙΣ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5"/>
        <w:gridCol w:w="2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αγαθών</w:t>
            </w:r>
          </w:p>
        </w:tc>
      </w:tr>
    </w:tbl>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6"/>
        <w:gridCol w:w="7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θεωρούμενες ως παράδοση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10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Παράδοση αποθεμάτων στη διάθεση συγκεκριμένου αποκτώντα σε άλλο κράτος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θεωρούμενες ως 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Εισαγωγή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Ενδοκοινοτική απόκτηση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θεωρούμενες ως ενδοκοινοτική απόκτηση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Κουπόνια</w:t>
            </w:r>
          </w:p>
        </w:tc>
      </w:tr>
    </w:tbl>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ΤΟΠΟΣ ΠΡΑΓΜΑΤΟΠΟΙΗΣΗΣ ΦΟΡΟΛΟΓΗΤΕΩΝ ΠΡΑΞΕΩΝ</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Τόπος παράδοσης αγαθών</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Τόπος παροχής υπηρεσιών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Τόπος ενδοκοινοτικής απόκτησης αγαθών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Δ`ΓΕΝΕΣΗ ΤΗΣ ΦΟΡΟΛΟΓΙΚΗΣ ΥΠΟΧΡΕΩΣΗΣ ΚΑΙ ΑΠΑΙΤΗΤΟ ΤΟΥ ΦΟΡΟΥ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Ε`ΦΟΡΟΛΟΓΗΤΕΑ ΑΞΙΑ ΚΑΙ ΥΠΟΛΟΓΙΣΜΟΣ ΤΟΥ ΦΟΡΟΥ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1"/>
        <w:gridCol w:w="62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αξία στην εισαγωγή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Συντελεστές - Υπολογισμός του φόρου</w:t>
            </w:r>
          </w:p>
        </w:tc>
      </w:tr>
    </w:tbl>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ΣΤ`ΑΠΑΛΛΑΓΕΣ ΑΠΟ ΤΟΝ ΦΟΡΟ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1"/>
        <w:gridCol w:w="5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Απαλλαγές στο εσωτερικό 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Απαλλαγές στην εισαγωγή αγαθών</w:t>
            </w:r>
          </w:p>
        </w:tc>
      </w:tr>
    </w:tbl>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1"/>
        <w:gridCol w:w="61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Απαλλαγές στη διεθνή διακίνηση αγαθών</w:t>
            </w:r>
          </w:p>
        </w:tc>
      </w:tr>
    </w:tbl>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3"/>
        <w:gridCol w:w="7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απαλλαγές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Απαλλαγές στην παράδοση αγαθών σε άλλο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Απαλλαγές στην ενδοκοινοτική απόκτηση αγαθών</w:t>
            </w:r>
          </w:p>
        </w:tc>
      </w:tr>
    </w:tbl>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 ΕΚΠΤΩΣΗ - ΕΠΙΣΤΡΟΦΗ ΤΟΥ ΦΟΡΟΥ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1"/>
        <w:gridCol w:w="6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Δικαίωμα έκπτωσης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του εκπιπτόμενου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Άσκηση του δικαιώματος έκπτωσης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Διακανονισμός εκπτώσεων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Επιστροφή του φόρου</w:t>
            </w:r>
          </w:p>
        </w:tc>
      </w:tr>
    </w:tbl>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Η`ΥΠΟΧΡΕΟΙ ΣΤΟΝ ΦΟΡΟ ΚΑΙ ΥΠΟΧΡΕΩΣΕΙΣ ΑΥΤΩΝ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1"/>
        <w:gridCol w:w="6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Υπόχρεοι στον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των υποκειμένων στον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άλλων προσώπων</w:t>
            </w:r>
          </w:p>
        </w:tc>
      </w:tr>
    </w:tbl>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Θ`ΕΙΔΙΚΑ ΚΑΘΕΣΤΩΤΑ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3"/>
        <w:gridCol w:w="7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μικρών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καταβολής του φόρου από τον λήπτη αγαθών και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46 αντιπαροχής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καταβολής του φόρου κατά τον χρόνο είσπραξης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κατ` αποκοπή καταβολής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Αγρότες, αγροτικά προϊόντα, αγροτικές εκμεταλλεύσεις και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πρακτορείων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φορολογίας βιομηχανοποιημένων καπνών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52 παραδίδουν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φορολογίας των υποκειμένων στον φόρο μεταπωλητών που μεταχειρισμένα αγαθά και αντικείμενα καλλιτεχνικής, συλλεκτικής ή</w:t>
            </w:r>
          </w:p>
        </w:tc>
      </w:tr>
    </w:tbl>
    <w:p>
      <w:pPr>
        <w:spacing w:before="240" w:after="240"/>
        <w:rPr>
          <w:lang w:val="el" w:eastAsia="el"/>
        </w:rPr>
      </w:pPr>
      <w:r>
        <w:rPr>
          <w:b/>
          <w:bCs/>
          <w:lang w:val="el" w:eastAsia="el"/>
        </w:rPr>
        <w:t>αρχαιολογικής αξίας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9"/>
        <w:gridCol w:w="80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φορολογίας για τις πωλήσεις σε δημοπρασία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Ειδικό καθεστώς επενδυτικού χρυσού</w:t>
            </w:r>
          </w:p>
        </w:tc>
      </w:tr>
    </w:tbl>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ρυθμίσεις για τις εξ αποστάσεως πωλήσεις ορισμένων αγαθών που υπάγονται σε Ειδικούς Φόρους Κατανάλωσης και Φόρο Κατανάλωσης</w:t>
      </w:r>
    </w:p>
    <w:p>
      <w:pPr>
        <w:pStyle w:val="Heading1"/>
        <w:spacing w:before="240" w:after="240"/>
        <w:rPr>
          <w:lang w:val="el" w:eastAsia="el"/>
        </w:rPr>
      </w:pPr>
      <w:r>
        <w:rPr>
          <w:b/>
          <w:bCs/>
          <w:u w:val="single"/>
          <w:lang w:val="el" w:eastAsia="el"/>
        </w:rPr>
        <w:t xml:space="preserve">ΤΜΗΜΑ ΙΙ </w:t>
      </w:r>
    </w:p>
    <w:p>
      <w:pPr>
        <w:pStyle w:val="Heading1"/>
        <w:spacing w:before="240" w:after="240"/>
        <w:rPr>
          <w:lang w:val="el" w:eastAsia="el"/>
        </w:rPr>
      </w:pPr>
      <w:r>
        <w:rPr>
          <w:b/>
          <w:bCs/>
          <w:u w:val="single"/>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 ΔΙΑΔΙΚΑΣΙΑ ΕΛΕΓΧΟΥ ΚΑΙ ΠΡΟΣΔΙΟΡΙΣΜΟΥ ΤΟΥ ΦΟΡΟΥ ΕΠΙ ΕΙΔΙΚΗΣ ΔΗΛΩΣΗΣ ΦΟΡΟΥ ΠΡΟΣΤΙΘΕΜΕΝΗΣ ΑΞΙΑΣ ΑΚΙΝΗΤΩΝ</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Έλεγχος,πράξη προσδιορισμού φόρου επίειδικήςδήλωσηςΦόρου Προστιθέμενης Αξίας ακινήτων και κοινοποίηση αυτής</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Αποδοχήτης βάσει ελέγχου διαφοράς επίειδικήςδήλωσηςΦόρου Προστιθέμενης Αξίας ακινήτων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ΛΟΙΠΕΣ ΔΙΑΔΙΚΑΣΤΙΚΕΣ ΔΙΑΤΑΞΕΙΣ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Χρόνος καταβολής του φόρου</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Ευθύνη εις ολόκληρον καταβολής του φόρου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ΕΙΔΙΚΗ ΔΙΑΔΙΚΑΣΙΑ ΒΕΒΑΙΩΣΗΣ ΚΑΙ ΕΙΣΠΡΑΞΗΣ ΤΟΥ ΦΟΡΟΥ ΚΑΤΑ ΤΗΝ ΕΙΣΑΓΩΓΗ</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του φόρου κατά την εισαγωγή</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ΕΙΔΙΚΗ ΔΙΑΔΙΚΑΣΙΑ ΓΙΑ ΤΙΣ ΣΥΝΑΛΛΑΓΕΣ ΜΕ ΤΑ ΑΝΑΦΕΡΟΜΕΝΑ ΣΤΟ ΠΑΡΑΡΤΗΜΑ ΙΙ ΕΔΑΦΗ</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Heading1"/>
        <w:spacing w:before="240" w:after="240"/>
        <w:rPr>
          <w:lang w:val="el" w:eastAsia="el"/>
        </w:rPr>
      </w:pPr>
      <w:r>
        <w:rPr>
          <w:b/>
          <w:bCs/>
          <w:u w:val="single"/>
          <w:lang w:val="el" w:eastAsia="el"/>
        </w:rPr>
        <w:t xml:space="preserve">ΤΜΗΜΑ ΙΙΙ </w:t>
      </w:r>
    </w:p>
    <w:p>
      <w:pPr>
        <w:pStyle w:val="Heading1"/>
        <w:spacing w:before="240" w:after="240"/>
        <w:rPr>
          <w:lang w:val="el" w:eastAsia="el"/>
        </w:rPr>
      </w:pPr>
      <w:r>
        <w:rPr>
          <w:b/>
          <w:bCs/>
          <w:u w:val="single"/>
          <w:lang w:val="el" w:eastAsia="el"/>
        </w:rPr>
        <w:t xml:space="preserve">ΛΟΙΠΕΣ ΡΥΘΜΙΣΕΙΣ </w:t>
      </w:r>
      <w:r>
        <w:rPr>
          <w:b/>
          <w:bCs/>
          <w:u w:val="single"/>
          <w:lang w:val="el" w:eastAsia="el"/>
        </w:rPr>
        <w:t xml:space="preserve">- </w:t>
      </w:r>
      <w:r>
        <w:rPr>
          <w:b/>
          <w:bCs/>
          <w:u w:val="single"/>
          <w:lang w:val="el" w:eastAsia="el"/>
        </w:rPr>
        <w:t xml:space="preserve">ΜΕΤΑΒΑΤΙΚΕΣ </w:t>
      </w:r>
      <w:r>
        <w:rPr>
          <w:b/>
          <w:bCs/>
          <w:u w:val="single"/>
          <w:lang w:val="el" w:eastAsia="el"/>
        </w:rPr>
        <w:t xml:space="preserve">– </w:t>
      </w:r>
      <w:r>
        <w:rPr>
          <w:b/>
          <w:bCs/>
          <w:u w:val="single"/>
          <w:lang w:val="el" w:eastAsia="el"/>
        </w:rPr>
        <w:t>ΤΕΛΙΚΕΣ ΔΙΑΤΑΞΕΙΣ</w:t>
      </w:r>
    </w:p>
    <w:p>
      <w:pPr>
        <w:pStyle w:val="Heading6"/>
        <w:spacing w:before="240" w:after="240"/>
        <w:rPr>
          <w:lang w:val="el" w:eastAsia="el"/>
        </w:rPr>
      </w:pPr>
      <w:r>
        <w:rPr>
          <w:b/>
          <w:bCs/>
          <w:lang w:val="el" w:eastAsia="el"/>
        </w:rPr>
        <w:t>Άρθρο 69</w:t>
      </w:r>
      <w:r>
        <w:rPr>
          <w:b/>
          <w:bCs/>
          <w:lang w:val="el" w:eastAsia="el"/>
        </w:rPr>
        <w:t xml:space="preserve"> </w:t>
      </w:r>
    </w:p>
    <w:p>
      <w:pPr>
        <w:pStyle w:val="Heading6"/>
        <w:spacing w:before="240" w:after="240"/>
        <w:rPr>
          <w:lang w:val="el" w:eastAsia="el"/>
        </w:rPr>
      </w:pPr>
      <w:r>
        <w:rPr>
          <w:b/>
          <w:bCs/>
          <w:lang w:val="el" w:eastAsia="el"/>
        </w:rPr>
        <w:t>Λοιπές ρυθμίσεις</w:t>
      </w:r>
    </w:p>
    <w:p>
      <w:pPr>
        <w:pStyle w:val="Heading6"/>
        <w:spacing w:before="240" w:after="240"/>
        <w:rPr>
          <w:lang w:val="el" w:eastAsia="el"/>
        </w:rPr>
      </w:pPr>
      <w:r>
        <w:rPr>
          <w:b/>
          <w:bCs/>
          <w:lang w:val="el" w:eastAsia="el"/>
        </w:rPr>
        <w:t>Άρθρο 70</w:t>
      </w:r>
      <w:r>
        <w:rPr>
          <w:b/>
          <w:bCs/>
          <w:lang w:val="el" w:eastAsia="el"/>
        </w:rPr>
        <w:t xml:space="preserve"> </w:t>
      </w:r>
    </w:p>
    <w:p>
      <w:pPr>
        <w:pStyle w:val="Heading6"/>
        <w:spacing w:before="240" w:after="240"/>
        <w:rPr>
          <w:lang w:val="el" w:eastAsia="el"/>
        </w:rPr>
      </w:pPr>
      <w:r>
        <w:rPr>
          <w:b/>
          <w:bCs/>
          <w:lang w:val="el" w:eastAsia="el"/>
        </w:rPr>
        <w:t>Μεταβατικές διατάξεις</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b/>
          <w:bCs/>
          <w:u w:val="single"/>
          <w:lang w:val="el" w:eastAsia="el"/>
        </w:rPr>
        <w:t>ΠΑΡΑΡΤΗΜΑΤΑ</w:t>
      </w:r>
    </w:p>
    <w:p>
      <w:pPr>
        <w:spacing w:before="240" w:after="240"/>
        <w:rPr>
          <w:lang w:val="el" w:eastAsia="el"/>
        </w:rPr>
      </w:pPr>
      <w:r>
        <w:rPr>
          <w:b/>
          <w:bCs/>
          <w:lang w:val="el" w:eastAsia="el"/>
        </w:rPr>
        <w:t>Με το δεύτερο άρθρο του κοινοποιούμενου νόμου ορίζεται ότι η ισχύς αυτού αρχίζει από τη δημοσίευσή του στην Εφημερίδα της Κυβερνήσεως, ήτοι από 11.10.2024.</w:t>
      </w:r>
    </w:p>
    <w:p>
      <w:pPr>
        <w:spacing w:before="240" w:after="240"/>
        <w:rPr>
          <w:lang w:val="el" w:eastAsia="el"/>
        </w:rPr>
      </w:pPr>
      <w:r>
        <w:rPr>
          <w:b/>
          <w:bCs/>
          <w:lang w:val="el" w:eastAsia="el"/>
        </w:rPr>
        <w:t>Το παράρτημα του κοινοποιούμενου νόμου περιέχει πίνακα κωδικοποιητικών και κωδικοποιούμενων διατάξεων.</w:t>
      </w:r>
    </w:p>
    <w:p>
      <w:pPr>
        <w:spacing w:before="240" w:after="240"/>
        <w:rPr>
          <w:lang w:val="el" w:eastAsia="el"/>
        </w:rPr>
      </w:pPr>
      <w:r>
        <w:rPr>
          <w:b/>
          <w:bCs/>
          <w:lang w:val="el" w:eastAsia="el"/>
        </w:rPr>
        <w:t>Συνημμένο: ΦΕΚ Α΄ 162/2024</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Δ΄,</w:t>
      </w:r>
    </w:p>
    <w:p>
      <w:pPr>
        <w:spacing w:before="240" w:after="240"/>
        <w:rPr>
          <w:lang w:val="el" w:eastAsia="el"/>
        </w:rPr>
      </w:pPr>
      <w:r>
        <w:rPr>
          <w:b/>
          <w:bCs/>
          <w:lang w:val="el" w:eastAsia="el"/>
        </w:rPr>
        <w:t>» » Ζ΄.</w:t>
      </w:r>
    </w:p>
    <w:p>
      <w:pPr>
        <w:spacing w:before="240" w:after="240"/>
        <w:rPr>
          <w:lang w:val="el" w:eastAsia="el"/>
        </w:rPr>
      </w:pPr>
      <w:r>
        <w:rPr>
          <w:b/>
          <w:bCs/>
          <w:lang w:val="el" w:eastAsia="el"/>
        </w:rPr>
        <w:t>» » Η΄.</w:t>
      </w:r>
    </w:p>
    <w:p>
      <w:pPr>
        <w:spacing w:before="240" w:after="240"/>
        <w:rPr>
          <w:lang w:val="el" w:eastAsia="el"/>
        </w:rPr>
      </w:pPr>
      <w:r>
        <w:rPr>
          <w:b/>
          <w:bCs/>
          <w:lang w:val="el" w:eastAsia="el"/>
        </w:rPr>
        <w:t>» » Θ΄</w:t>
      </w:r>
    </w:p>
    <w:p>
      <w:pPr>
        <w:spacing w:before="240" w:after="240"/>
        <w:rPr>
          <w:lang w:val="el" w:eastAsia="el"/>
        </w:rPr>
      </w:pPr>
      <w:r>
        <w:rPr>
          <w:b/>
          <w:bCs/>
          <w:lang w:val="el" w:eastAsia="el"/>
        </w:rPr>
        <w:t>» » Ι, ΙΒ΄ΙΓ’,ΙΕ΄, ΙΣΤ, ΙΖ΄, ΙΗ΄, ΙΘ΄ Κ΄,ΚΑ’, ΚΒ΄, ΚΓ</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