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 ΚΑΙ</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17778, Ταύρος</w:t>
      </w:r>
    </w:p>
    <w:p>
      <w:pPr>
        <w:pStyle w:val="PreambelText"/>
        <w:spacing w:before="240" w:after="240"/>
        <w:rPr>
          <w:lang w:val="el" w:eastAsia="el"/>
        </w:rPr>
      </w:pPr>
      <w:r>
        <w:rPr>
          <w:b/>
          <w:bCs/>
          <w:lang w:val="el" w:eastAsia="el"/>
        </w:rPr>
        <w:t>: 2131410120, - 200</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dideisep@aade.gr</w:t>
        </w:r>
      </w:hyperlink>
    </w:p>
    <w:p>
      <w:pPr>
        <w:pStyle w:val="PreambelText"/>
        <w:spacing w:before="240" w:after="240"/>
        <w:rPr>
          <w:lang w:val="el" w:eastAsia="el"/>
        </w:rPr>
      </w:pPr>
      <w:r>
        <w:rPr>
          <w:lang w:val="el" w:eastAsia="el"/>
        </w:rPr>
        <w:t xml:space="preserve">2. </w:t>
      </w:r>
      <w:r>
        <w:rPr>
          <w:b/>
          <w:bCs/>
          <w:lang w:val="el" w:eastAsia="el"/>
        </w:rPr>
        <w:t>ΔΙΕΥΘΥΝΣΗ ΕΛΕΓΚΤΙΚΩΝ ΔΙΑΔΙΚΑΣΙΩΝ</w:t>
      </w:r>
    </w:p>
    <w:p>
      <w:pPr>
        <w:pStyle w:val="PreambelText"/>
        <w:spacing w:before="240" w:after="240"/>
        <w:rPr>
          <w:lang w:val="el" w:eastAsia="el"/>
        </w:rPr>
      </w:pPr>
      <w:r>
        <w:rPr>
          <w:b/>
          <w:bCs/>
          <w:lang w:val="el" w:eastAsia="el"/>
        </w:rPr>
        <w:t>(ΔΙ.ΕΛ.ΔΙ.) ΤΜΗΜΑ A</w:t>
      </w:r>
    </w:p>
    <w:p>
      <w:pPr>
        <w:pStyle w:val="PreambelText"/>
        <w:spacing w:before="240" w:after="240"/>
        <w:rPr>
          <w:lang w:val="el" w:eastAsia="el"/>
        </w:rPr>
      </w:pPr>
      <w:r>
        <w:rPr>
          <w:b/>
          <w:bCs/>
          <w:lang w:val="el" w:eastAsia="el"/>
        </w:rPr>
        <w:t>Ταχ. Δ/νση Ταχ. Κώδικας</w:t>
      </w:r>
    </w:p>
    <w:p>
      <w:pPr>
        <w:pStyle w:val="PreambelText"/>
        <w:spacing w:before="240" w:after="240"/>
        <w:rPr>
          <w:lang w:val="el" w:eastAsia="el"/>
        </w:rPr>
      </w:pPr>
      <w:r>
        <w:rPr>
          <w:b/>
          <w:bCs/>
          <w:lang w:val="el" w:eastAsia="el"/>
        </w:rPr>
        <w:t>Τηλέφωνο Email</w:t>
      </w:r>
    </w:p>
    <w:p>
      <w:pPr>
        <w:pStyle w:val="PreambelText"/>
        <w:spacing w:before="240" w:after="240"/>
        <w:rPr>
          <w:lang w:val="el" w:eastAsia="el"/>
        </w:rPr>
      </w:pPr>
      <w:r>
        <w:rPr>
          <w:b/>
          <w:bCs/>
          <w:lang w:val="el" w:eastAsia="el"/>
        </w:rPr>
        <w:t>ΘΕΜΑ: Κοινοποίηση των διατάξεων των άρθρων 4, 12, 33 και 39 του ν. 5176/2025 «Ρυθμίσεις για την ενίσχυση του ερασιτεχνικού και του επαγγελματικού αθλητισμού και άλλες διατάξεις» (Α΄17)</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4, 12, 33 και 39 του ν. 5176/2025</w:t>
      </w:r>
    </w:p>
    <w:p>
      <w:pPr>
        <w:pStyle w:val="enacting"/>
        <w:spacing w:before="120" w:after="0"/>
        <w:rPr>
          <w:lang w:val="el" w:eastAsia="el"/>
        </w:rPr>
      </w:pPr>
      <w:r>
        <w:rPr>
          <w:b/>
          <w:bCs/>
          <w:lang w:val="el" w:eastAsia="el"/>
        </w:rPr>
        <w:t>Β)ΠΕΡΙΕΧΟΜΕΝΟ</w:t>
      </w:r>
    </w:p>
    <w:p>
      <w:pPr>
        <w:pStyle w:val="PreambelText"/>
        <w:spacing w:before="240" w:after="240"/>
        <w:rPr>
          <w:lang w:val="el" w:eastAsia="el"/>
        </w:rPr>
      </w:pPr>
      <w:r>
        <w:rPr>
          <w:b/>
          <w:bCs/>
          <w:lang w:val="el" w:eastAsia="el"/>
        </w:rPr>
        <w:t>Κοινοποίηση των διατάξεων των κάτωθι άρθρων του ν. 5176/2025:</w:t>
      </w:r>
    </w:p>
    <w:p>
      <w:pPr>
        <w:pStyle w:val="PreambelText"/>
        <w:spacing w:before="240" w:after="240"/>
        <w:rPr>
          <w:lang w:val="el" w:eastAsia="el"/>
        </w:rPr>
      </w:pPr>
      <w:r>
        <w:rPr>
          <w:lang w:val="el" w:eastAsia="el"/>
        </w:rPr>
        <w:t xml:space="preserve">1. </w:t>
      </w:r>
      <w:r>
        <w:rPr>
          <w:b/>
          <w:bCs/>
          <w:lang w:val="el" w:eastAsia="el"/>
        </w:rPr>
        <w:t>του άρθρου 4 «Βιβλία σωματείων - Αντικατάσταση άρθρου 6 ν. 2725/1999»</w:t>
      </w:r>
    </w:p>
    <w:p>
      <w:pPr>
        <w:pStyle w:val="PreambelText"/>
        <w:spacing w:before="240" w:after="240"/>
        <w:rPr>
          <w:lang w:val="el" w:eastAsia="el"/>
        </w:rPr>
      </w:pPr>
      <w:r>
        <w:rPr>
          <w:lang w:val="el" w:eastAsia="el"/>
        </w:rPr>
        <w:t xml:space="preserve">2. </w:t>
      </w:r>
      <w:r>
        <w:rPr>
          <w:b/>
          <w:bCs/>
          <w:lang w:val="el" w:eastAsia="el"/>
        </w:rPr>
        <w:t>του άρθρου 12 «Προϋποθέσεις επιχορήγησης αθλητικών φορέων - Αντικατάσταση παρ. 5Α άρθρου 50 ν. 2725/1999»</w:t>
      </w:r>
    </w:p>
    <w:p>
      <w:pPr>
        <w:pStyle w:val="PreambelText"/>
        <w:spacing w:before="240" w:after="240"/>
        <w:rPr>
          <w:lang w:val="el" w:eastAsia="el"/>
        </w:rPr>
      </w:pPr>
      <w:r>
        <w:rPr>
          <w:lang w:val="el" w:eastAsia="el"/>
        </w:rPr>
        <w:t xml:space="preserve">3. </w:t>
      </w:r>
      <w:r>
        <w:rPr>
          <w:b/>
          <w:bCs/>
          <w:lang w:val="el" w:eastAsia="el"/>
        </w:rPr>
        <w:t>του άρθρου 33 «Παράταση του ακατάσχετου της χρηματοδότησης αθλητικών ομάδων και της επιχορήγησης των Ειδικών Επιτροπών του άρθρου 53 του ν. 2725/1999 από τα φορολογικά έσοδα τυχερών παιγνίων - Τροποποίηση παρ. 2 άρθρου δέκατου έκτου ν. 4787/2021»</w:t>
      </w:r>
    </w:p>
    <w:p>
      <w:pPr>
        <w:pStyle w:val="PreambelText"/>
        <w:spacing w:before="240" w:after="240"/>
        <w:rPr>
          <w:lang w:val="el" w:eastAsia="el"/>
        </w:rPr>
      </w:pPr>
      <w:r>
        <w:rPr>
          <w:lang w:val="el" w:eastAsia="el"/>
        </w:rPr>
        <w:t xml:space="preserve">4. </w:t>
      </w:r>
      <w:r>
        <w:rPr>
          <w:b/>
          <w:bCs/>
          <w:lang w:val="el" w:eastAsia="el"/>
        </w:rPr>
        <w:t>του άρθρου 39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1. </w:t>
      </w:r>
      <w:r>
        <w:rPr>
          <w:b/>
          <w:bCs/>
          <w:lang w:val="el" w:eastAsia="el"/>
        </w:rPr>
        <w:t>Το άρθρο 4 αφορά τις υποχρεώσεις τήρησης από τα αθλητικά σωματεία βιβλίων</w:t>
      </w:r>
    </w:p>
    <w:p>
      <w:pPr>
        <w:pStyle w:val="PreambelText"/>
        <w:spacing w:before="240" w:after="240"/>
        <w:rPr>
          <w:lang w:val="el" w:eastAsia="el"/>
        </w:rPr>
      </w:pPr>
      <w:r>
        <w:rPr>
          <w:lang w:val="el" w:eastAsia="el"/>
        </w:rPr>
        <w:t xml:space="preserve">2. </w:t>
      </w:r>
      <w:r>
        <w:rPr>
          <w:b/>
          <w:bCs/>
          <w:lang w:val="el" w:eastAsia="el"/>
        </w:rPr>
        <w:t>Το άρθρο 12 αφορά στις προϋποθέσεις επιχορήγησης αθλητικών φορέων</w:t>
      </w:r>
    </w:p>
    <w:p>
      <w:pPr>
        <w:pStyle w:val="PreambelText"/>
        <w:spacing w:before="240" w:after="240"/>
        <w:rPr>
          <w:lang w:val="el" w:eastAsia="el"/>
        </w:rPr>
      </w:pPr>
      <w:r>
        <w:rPr>
          <w:lang w:val="el" w:eastAsia="el"/>
        </w:rPr>
        <w:t xml:space="preserve">3. </w:t>
      </w:r>
      <w:r>
        <w:rPr>
          <w:b/>
          <w:bCs/>
          <w:lang w:val="el" w:eastAsia="el"/>
        </w:rPr>
        <w:t>Το άρθρο 33 αφορά στην παράταση του ακατάσχετου της χρηματοδότησης αθλητικών</w:t>
      </w:r>
    </w:p>
    <w:p>
      <w:pPr>
        <w:pStyle w:val="PreambelText"/>
        <w:spacing w:before="240" w:after="240"/>
        <w:rPr>
          <w:lang w:val="el" w:eastAsia="el"/>
        </w:rPr>
      </w:pPr>
      <w:r>
        <w:rPr>
          <w:b/>
          <w:bCs/>
          <w:lang w:val="el" w:eastAsia="el"/>
        </w:rPr>
        <w:t>ομάδων και της επιχορήγησης των Ειδικών Επιτροπών του άρθρου 53 του ν. 2725/1999 από τα φορολογικά έσοδα τυχερών παιγνίων</w:t>
      </w:r>
    </w:p>
    <w:p>
      <w:pPr>
        <w:pStyle w:val="PreambelText"/>
        <w:spacing w:before="240" w:after="240"/>
        <w:rPr>
          <w:lang w:val="el" w:eastAsia="el"/>
        </w:rPr>
      </w:pPr>
      <w:r>
        <w:rPr>
          <w:lang w:val="el" w:eastAsia="el"/>
        </w:rPr>
        <w:t xml:space="preserve">4. </w:t>
      </w:r>
      <w:r>
        <w:rPr>
          <w:b/>
          <w:bCs/>
          <w:lang w:val="el" w:eastAsia="el"/>
        </w:rPr>
        <w:t>Το άρθρο 39 αφορά στην έναρξη ισχύος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4, 12, 33 και 39 του ν. 5176/2025, ως ακολούθως: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«Βιβλία σωματείων - Αντικατάσταση άρθρου 6 ν. 2725/1999»</w:t>
      </w:r>
    </w:p>
    <w:p>
      <w:pPr>
        <w:spacing w:before="240" w:after="240"/>
        <w:rPr>
          <w:lang w:val="el" w:eastAsia="el"/>
        </w:rPr>
      </w:pPr>
      <w:r>
        <w:rPr>
          <w:b/>
          <w:bCs/>
          <w:lang w:val="el" w:eastAsia="el"/>
        </w:rPr>
        <w:t>Το άρθρο 6 του ν. 2725/1999 (Α’ 121), περί των τηρούμενων από τα αθλητικά σωματεία βιβλίων, αντικαθίσταται ως εξής:</w:t>
      </w:r>
    </w:p>
    <w:p>
      <w:pPr>
        <w:spacing w:before="240" w:after="240"/>
        <w:rPr>
          <w:lang w:val="el" w:eastAsia="el"/>
        </w:rPr>
      </w:pPr>
      <w:r>
        <w:rPr>
          <w:b/>
          <w:bCs/>
          <w:lang w:val="el" w:eastAsia="el"/>
        </w:rPr>
        <w:t>«Άρθρο 6</w:t>
      </w:r>
    </w:p>
    <w:p>
      <w:pPr>
        <w:spacing w:before="240" w:after="240"/>
        <w:rPr>
          <w:lang w:val="el" w:eastAsia="el"/>
        </w:rPr>
      </w:pPr>
      <w:r>
        <w:rPr>
          <w:b/>
          <w:bCs/>
          <w:lang w:val="el" w:eastAsia="el"/>
        </w:rPr>
        <w:t>Βιβλία</w:t>
      </w:r>
    </w:p>
    <w:p>
      <w:pPr>
        <w:spacing w:before="240" w:after="240"/>
        <w:rPr>
          <w:lang w:val="el" w:eastAsia="el"/>
        </w:rPr>
      </w:pPr>
      <w:r>
        <w:rPr>
          <w:lang w:val="el" w:eastAsia="el"/>
        </w:rPr>
        <w:t xml:space="preserve">1. </w:t>
      </w:r>
      <w:r>
        <w:rPr>
          <w:b/>
          <w:bCs/>
          <w:lang w:val="el" w:eastAsia="el"/>
        </w:rPr>
        <w:t>Κάθε αθλητικό σωματείο τηρεί, χειρόγραφα, έντυπα ή ηλεκτρονικά, τα εξής Βιβλία: α) Μητρώου Μελών, στο οποίο καταχωρείται τουλάχιστον ο Αριθμός Φορολογικού Μητρώου κάθε μέλους,</w:t>
      </w:r>
    </w:p>
    <w:p>
      <w:pPr>
        <w:spacing w:before="240" w:after="240"/>
        <w:rPr>
          <w:lang w:val="el" w:eastAsia="el"/>
        </w:rPr>
      </w:pPr>
      <w:r>
        <w:rPr>
          <w:b/>
          <w:bCs/>
          <w:lang w:val="el" w:eastAsia="el"/>
        </w:rPr>
        <w:t>β) Πρακτικών Συνεδριάσεων Γενικών Συνελεύσεων, γ) Πρακτικών Συνεδριάσεων Διοικητικού Συμβουλίου,</w:t>
      </w:r>
    </w:p>
    <w:p>
      <w:pPr>
        <w:spacing w:before="240" w:after="240"/>
        <w:rPr>
          <w:lang w:val="el" w:eastAsia="el"/>
        </w:rPr>
      </w:pPr>
      <w:r>
        <w:rPr>
          <w:b/>
          <w:bCs/>
          <w:lang w:val="el" w:eastAsia="el"/>
        </w:rPr>
        <w:t>δ) Εσόδων - Εξόδων, εκτός εάν αποκτά εισόδημα από επιχειρηματική δραστηριότητα, οπότε εφαρμόζεται το άρθρο 13 του Κώδικα Φορολογικής Διαδικασίας (ν. 5104/2024, Α’ 58), περί λογιστικών βιβλίων και στοιχείων,</w:t>
      </w:r>
    </w:p>
    <w:p>
      <w:pPr>
        <w:spacing w:before="240" w:after="240"/>
        <w:rPr>
          <w:lang w:val="el" w:eastAsia="el"/>
        </w:rPr>
      </w:pPr>
      <w:r>
        <w:rPr>
          <w:b/>
          <w:bCs/>
          <w:lang w:val="el" w:eastAsia="el"/>
        </w:rPr>
        <w:t>ε) Περιουσιακών Στοιχείων και</w:t>
      </w:r>
    </w:p>
    <w:p>
      <w:pPr>
        <w:spacing w:before="240" w:after="240"/>
        <w:rPr>
          <w:lang w:val="el" w:eastAsia="el"/>
        </w:rPr>
      </w:pPr>
      <w:r>
        <w:rPr>
          <w:b/>
          <w:bCs/>
          <w:lang w:val="el" w:eastAsia="el"/>
        </w:rPr>
        <w:t>στ) Πρωτοκόλλου εισερχομένων και εξερχομένων εγγράφων.</w:t>
      </w:r>
    </w:p>
    <w:p>
      <w:pPr>
        <w:spacing w:before="240" w:after="240"/>
        <w:rPr>
          <w:lang w:val="el" w:eastAsia="el"/>
        </w:rPr>
      </w:pPr>
      <w:r>
        <w:rPr>
          <w:lang w:val="el" w:eastAsia="el"/>
        </w:rPr>
        <w:t xml:space="preserve">2. </w:t>
      </w:r>
      <w:r>
        <w:rPr>
          <w:b/>
          <w:bCs/>
          <w:lang w:val="el" w:eastAsia="el"/>
        </w:rPr>
        <w:t>Με την επιφύλαξη των διατάξεων της φορολογικής νομοθεσίας για τις οντότητες του άρθρου 1 του ν. 4308/2014 (Α’ 251), τα Βιβλία της παρ. 1, σε περίπτωση:</w:t>
      </w:r>
    </w:p>
    <w:p>
      <w:pPr>
        <w:spacing w:before="240" w:after="240"/>
        <w:rPr>
          <w:lang w:val="el" w:eastAsia="el"/>
        </w:rPr>
      </w:pPr>
      <w:r>
        <w:rPr>
          <w:b/>
          <w:bCs/>
          <w:lang w:val="el" w:eastAsia="el"/>
        </w:rPr>
        <w:t>α) χειρόγραφης τήρησης, πριν από τη χρήση τους, σφραγίζονται με τη σφραγίδα του Σωματείου και θεωρούνται σε κάθε σελίδα τους από το αρμόδιο όργανο του Σωματείου,</w:t>
      </w:r>
    </w:p>
    <w:p>
      <w:pPr>
        <w:spacing w:before="240" w:after="240"/>
        <w:rPr>
          <w:lang w:val="el" w:eastAsia="el"/>
        </w:rPr>
      </w:pPr>
      <w:r>
        <w:rPr>
          <w:b/>
          <w:bCs/>
          <w:lang w:val="el" w:eastAsia="el"/>
        </w:rPr>
        <w:t>β) έντυπης τήρησης, εκτυπώνονται, υπογράφονται και στη συνέχεια αρχειοθετούνται ημερολογιακά σε φυσικό φάκελο. Ειδικά για τα Βιβλία των περ. α’, δ’, ε’ και στ’, της παρ. 1, η εκτύπωση δεν γίνεται ανά εγγραφή, αλλά ανά ημερολογιακό τρίμηνο. Η εκτύπωση πραγματοποιείται εντός είκοσι (20) ημερών από τη λήξη εκάστου ημερολογιακού τριμήνου, σφραγίζεται και υπογράφεται από το αρμόδιο όργανο του σωματείου, γ) ηλεκτρονικής τήρησης, υπογράφονται ψηφιακά.</w:t>
      </w:r>
    </w:p>
    <w:p>
      <w:pPr>
        <w:spacing w:before="240" w:after="240"/>
        <w:rPr>
          <w:lang w:val="el" w:eastAsia="el"/>
        </w:rPr>
      </w:pPr>
      <w:r>
        <w:rPr>
          <w:lang w:val="el" w:eastAsia="el"/>
        </w:rPr>
        <w:t xml:space="preserve">3. </w:t>
      </w:r>
      <w:r>
        <w:rPr>
          <w:b/>
          <w:bCs/>
          <w:lang w:val="el" w:eastAsia="el"/>
        </w:rPr>
        <w:t>Με απόφαση του αρμόδιου για τον αθλητισμό Υπουργού, τα Βιβλία της παρ. 1, εφόσον δεν πρόκειται περί οντοτήτων του άρθρου 1 του ν. 4308/2014, τηρούνται ψηφιακά στο πληροφοριακό σύστημα «e-KOUROS» του άρθρου 18 του ν. 5085/2024 (Α’ 17). Με την ίδια απόφαση καθορίζονται η ημερομηνία έναρξης και ο τρόπος τήρησης των ψηφιακών βιβλίων, η διαδικασία έκδοσης έγκυρων αποσπασμάτων, καθώς και κάθε άλλη αναγκαία λεπτομέρεια για την εφαρμογή του παρόντος.</w:t>
      </w:r>
    </w:p>
    <w:p>
      <w:pPr>
        <w:spacing w:before="240" w:after="240"/>
        <w:rPr>
          <w:lang w:val="el" w:eastAsia="el"/>
        </w:rPr>
      </w:pPr>
      <w:r>
        <w:rPr>
          <w:lang w:val="el" w:eastAsia="el"/>
        </w:rPr>
        <w:t xml:space="preserve">4. </w:t>
      </w:r>
      <w:r>
        <w:rPr>
          <w:b/>
          <w:bCs/>
          <w:lang w:val="el" w:eastAsia="el"/>
        </w:rPr>
        <w:t>Η Διεύθυνση Οικονομικής Υποστήριξης Τομέα Αθλητισμού του Υπουργείου Παιδείας, Θρησκευμάτων και Αθλητισμού δύναται να ζητεί από τα αθλητικά σωματεία και να λαμβάνει, ετησίως, σε ηλεκτρονική μορφή, αντίγραφο των δεδομένων που διαβιβάζουν στην Ανεξάρτητη Αρχή Δημοσίων Εσόδων κατά τα οριζόμενα στην παρ. 1 του άρθρου 16 του Κώδικα Φορολογικής Διαδικασίας, εφόσον πρόκειται για οντότητες του άρθρου 1 του ν. 4308/2014.</w:t>
      </w:r>
    </w:p>
    <w:p>
      <w:pPr>
        <w:spacing w:before="240" w:after="240"/>
        <w:rPr>
          <w:lang w:val="el" w:eastAsia="el"/>
        </w:rPr>
      </w:pPr>
      <w:r>
        <w:rPr>
          <w:lang w:val="el" w:eastAsia="el"/>
        </w:rPr>
        <w:t xml:space="preserve">5. </w:t>
      </w:r>
      <w:r>
        <w:rPr>
          <w:b/>
          <w:bCs/>
          <w:lang w:val="el" w:eastAsia="el"/>
        </w:rPr>
        <w:t>Η μη τήρηση του παρόντος, καθώς και της παρ. 2 του άρθρου 7 συνεπάγονται την ανάκληση της ειδικής αθλητικής αναγνώρισης του σωματείου.»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«Προϋποθέσεις επιχορήγησης αθλητικών φορέων - Αντικατάσταση παρ. 5Α άρθρου 50 ν. 2725/1999»</w:t>
      </w:r>
    </w:p>
    <w:p>
      <w:pPr>
        <w:spacing w:before="240" w:after="240"/>
        <w:rPr>
          <w:lang w:val="el" w:eastAsia="el"/>
        </w:rPr>
      </w:pPr>
      <w:r>
        <w:rPr>
          <w:b/>
          <w:bCs/>
          <w:lang w:val="el" w:eastAsia="el"/>
        </w:rPr>
        <w:t>Η παρ. 5Α του άρθρου 50 του ν. 2725/1999 (Α’ 121), περί προϋποθέσεων επιχορήγησης αθλητικών φορέων, αντικαθίσταται ως εξής:</w:t>
      </w:r>
    </w:p>
    <w:p>
      <w:pPr>
        <w:spacing w:before="240" w:after="240"/>
        <w:rPr>
          <w:lang w:val="el" w:eastAsia="el"/>
        </w:rPr>
      </w:pPr>
      <w:r>
        <w:rPr>
          <w:b/>
          <w:bCs/>
          <w:lang w:val="el" w:eastAsia="el"/>
        </w:rPr>
        <w:t>«5Α. Προϋπόθεση επιχορήγησης ή χρηματοδότησης από τις πιστώσεις του ειδικού φορέα 1020.209.0000000 «Γενική Γραμματεία Αθλητισμού» του τακτικού προϋπολογισμού του Υπουργείου Παιδείας, Θρησκευμάτων και Αθλητισμού, αποτελεί η μη ύπαρξη οφειλών, που δημιουργήθηκαν μετά την 31η.12.2023 προς:</w:t>
      </w:r>
    </w:p>
    <w:p>
      <w:pPr>
        <w:spacing w:before="240" w:after="240"/>
        <w:rPr>
          <w:lang w:val="el" w:eastAsia="el"/>
        </w:rPr>
      </w:pPr>
      <w:r>
        <w:rPr>
          <w:b/>
          <w:bCs/>
          <w:lang w:val="el" w:eastAsia="el"/>
        </w:rPr>
        <w:t>α) όλα τα Εθνικά Αθλητικά Κέντρα, καθώς και</w:t>
      </w:r>
    </w:p>
    <w:p>
      <w:pPr>
        <w:spacing w:before="240" w:after="240"/>
        <w:rPr>
          <w:lang w:val="el" w:eastAsia="el"/>
        </w:rPr>
      </w:pPr>
      <w:r>
        <w:rPr>
          <w:b/>
          <w:bCs/>
          <w:lang w:val="el" w:eastAsia="el"/>
        </w:rPr>
        <w:t>β) τα νομικά πρόσωπα ιδιωτικού δικαίου «Στάδιο Ειρήνης και Φιλίας», «Εθνικός Οργανισμός Καταπολέμησης Ντόπινγκ» και «Ολυμπιακό Αθλητικό Κέντρο Αθηνών Σπύρος Λούης».</w:t>
      </w:r>
    </w:p>
    <w:p>
      <w:pPr>
        <w:spacing w:before="240" w:after="240"/>
        <w:rPr>
          <w:lang w:val="el" w:eastAsia="el"/>
        </w:rPr>
      </w:pPr>
      <w:r>
        <w:rPr>
          <w:b/>
          <w:bCs/>
          <w:lang w:val="el" w:eastAsia="el"/>
        </w:rPr>
        <w:t>Το ποσό της οφειλής παρακρατείται από την επιχορήγηση ή χρηματοδότηση που δικαιούται ο οφειλέτης φορέας και αποδίδεται με μορφή επιχορήγησης στο δικαιούχο νομικό πρόσωπο του πρώτου εδαφίου. Η απόδοση πραγματοποιείται με έκδοση ισόποσου χρηματικού εντάλματος προς το δικαιούχο νομικό πρόσωπο του πρώτου εδαφίου βαρύνοντας τον αναλυτικό λογαριασμό εξόδου με το οποίο επιχορηγείται ο οφειλέτης φορέας. Ειδικά για την περίπτωση της χρηματοδότησης που πραγματοποιείται σύμφωνα με το άρθρο 60 του ν. 2961/2001 (Α` 266), η απόδοση πραγματοποιείται με έκδοση εντολής πληρωμής προς το δικαιούχο νομικό πρόσωπο του πρώτου εδαφίου και βαρύνει τον αναλυτικό λογαριασμό εξόδου με το οποίο χρηματοδοτείται ο οφειλέτης φορέας. Μοναδικό δικαιολογητικό για την παρακράτηση και απόδοση της οφειλής αποτελεί η βεβαίωση οφειλής, η οποία εκδίδεται υποχρεωτικά από το δικαιούχο νομικό πρόσωπο του πρώτου εδαφίου την 30η Ιουνίου και την 31η Δεκεμβρίου εκάστου έτους και έχει εξάμηνη διάρκεια.</w:t>
      </w:r>
    </w:p>
    <w:p>
      <w:pPr>
        <w:spacing w:before="240" w:after="240"/>
        <w:rPr>
          <w:lang w:val="el" w:eastAsia="el"/>
        </w:rPr>
      </w:pPr>
      <w:r>
        <w:rPr>
          <w:b/>
          <w:bCs/>
          <w:lang w:val="el" w:eastAsia="el"/>
        </w:rPr>
        <w:t>Οι προβλέψεις της παρ. 2 του άρθρου δέκατου έκτου του ν. 4787/2021 (Α’ 44), περί του ακατάσχετου και μη υποκείμενου σε δέσμευση ή συμψηφισμό του ποσοστού των εσόδων που χρησιμοποιείται για τη χρηματοδότηση αθλητικών ομάδων, σύμφωνα με την παρ. 2 του άρθρου 60 του ν. 2961/2001, και την επιχορήγηση των Ειδικών Επιτροπών του άρθρου 53 του ν. 2725/1999 (Α’ 121), δεν κωλύουν την εφαρμογή των ρυθμίσεων της παρούσας.</w:t>
      </w:r>
    </w:p>
    <w:p>
      <w:pPr>
        <w:spacing w:before="240" w:after="240"/>
        <w:rPr>
          <w:lang w:val="el" w:eastAsia="el"/>
        </w:rPr>
      </w:pPr>
      <w:r>
        <w:rPr>
          <w:b/>
          <w:bCs/>
          <w:lang w:val="el" w:eastAsia="el"/>
        </w:rPr>
        <w:t>Η παρούσα ρύθμιση δεν εφαρμόζεται στις ακόλουθες περιπτώσεις: α) για επιχορηγήσεις και χρηματοδοτήσεις έως και το ποσό των δέκα χιλιάδων ευρώ (10.000,00€) ανεξαρτήτως σκοπού, β) ανεξαρτήτως ποσού, για επιχορηγήσεις και χρηματοδοτήσεις που αποσκοπούν στην κάλυψη δαπανών μισθοδοσίας, γ) για επιχορηγήσεις και χρηματοδοτήσεις, ανεξαρτήτως ποσού, προς το σύνολο των Εθνικών Αθλητικών Κέντρων, καθώς και τα νομικά πρόσωπα ιδιωτικού δικαίου «Στάδιο Ειρήνης και Φιλίας», «Εθνικός Οργανισμός Καταπολέμησης Ντόπινγκ» και «Ολυμπιακό Αθλητικό Κέντρο Αθηνών -Σπύρος Λούης και τις Οργανωτικές Επιτροπές του άρθρου 53.</w:t>
      </w:r>
    </w:p>
    <w:p>
      <w:pPr>
        <w:spacing w:before="240" w:after="240"/>
        <w:rPr>
          <w:lang w:val="el" w:eastAsia="el"/>
        </w:rPr>
      </w:pPr>
      <w:r>
        <w:rPr>
          <w:b/>
          <w:bCs/>
          <w:lang w:val="el" w:eastAsia="el"/>
        </w:rPr>
        <w:t>Με κοινή απόφαση του Υπουργού Εθνικής Οικονομίας και Οικονομικών και του αρμόδιου για τον αθλητισμό Υπουργού, ορίζονται η διαδικασία και κάθε αναγκαία λεπτομέρεια για την εφαρμογή της παρούσας».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«Παράταση του ακατάσχετου της χρηματοδότησης αθλητικών ομάδων και της επιχορήγησης των Ειδικών Επιτροπών του άρθρου 53 του ν. 2725/1999 από τα φορολογικά έσοδα τυχερών παιγνίων - Τροποποίηση παρ. 2 άρθρου δέκατου έκτου ν. 4787/2021»</w:t>
      </w:r>
    </w:p>
    <w:p>
      <w:pPr>
        <w:spacing w:before="240" w:after="240"/>
        <w:rPr>
          <w:lang w:val="el" w:eastAsia="el"/>
        </w:rPr>
      </w:pPr>
      <w:r>
        <w:rPr>
          <w:b/>
          <w:bCs/>
          <w:lang w:val="el" w:eastAsia="el"/>
        </w:rPr>
        <w:t>Στην παρ. 2 του άρθρου δέκατου έκτου του ν. 4787/2021 (Α’ 44), επέρχονται οι ακόλουθες τροποποιήσεις: α) οι λέξεις «και 2024» αντικαθίστανται από τις λέξεις «2024 και 2025», β) οι λέξεις «σύμφωνα με την παρ. 2 του άρθρου 60 του ν. 2961/2001» μεταφέρονται μετά από τις λέξεις «άρθρου 53 του ν. 2725/1999 (Α’ 121)», γ) προστίθεται δεύτερο εδάφιο και η παρ. 2 μετά από νομοτεχνική βελτίωση διαμορφώνεται ως εξής:</w:t>
      </w:r>
    </w:p>
    <w:p>
      <w:pPr>
        <w:spacing w:before="240" w:after="240"/>
        <w:rPr>
          <w:lang w:val="el" w:eastAsia="el"/>
        </w:rPr>
      </w:pPr>
      <w:r>
        <w:rPr>
          <w:b/>
          <w:bCs/>
          <w:lang w:val="el" w:eastAsia="el"/>
        </w:rPr>
        <w:t>«2. Κατ’ εξαίρεση για τα έτη 2021, 2022, 2023, 2024 και 2025 το ποσοστό των εσόδων που χρησιμοποιείται για τη χρηματοδότηση αθλητικών ομάδων και την επιχορήγηση των Ειδικών Επιτροπών του άρθρου 53 του ν. 2725/1999 (Α’ 121), σύμφωνα με την παρ. 2 του άρθρου 60 του ν. 2961/2001 (Α’ 266), είναι ακατάσχετο στα χέρια του Δημοσίου ή τρίτων, κατά παρέκκλιση κάθε γενικής και ειδικής διάταξης, δεν υπόκεινται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Για την εφαρμογή της παρούσας, οι χρηματοδοτούμενοι ή επιχορηγούμενοι φορείς του πρώτου εδαφίου εξαιρούνται από την υποχρέωση της παρ. 1 του άρθρου 180 του ν. 4820/2021 (Α’ 130).».</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το άρθρο 39 του κοινοποιούμενου νόμου ορίζεται ότι :</w:t>
      </w:r>
    </w:p>
    <w:p>
      <w:pPr>
        <w:spacing w:before="240" w:after="240"/>
        <w:rPr>
          <w:lang w:val="el" w:eastAsia="el"/>
        </w:rPr>
      </w:pPr>
      <w:r>
        <w:rPr>
          <w:b/>
          <w:bCs/>
          <w:lang w:val="el" w:eastAsia="el"/>
        </w:rPr>
        <w:t>«1. Με την επιφύλαξη της παρ. 2, η ισχύς του παρόντος αρχίζει από τη δημοσίευσή του στην Εφημερίδα της Κυβερνήσεως.</w:t>
      </w:r>
    </w:p>
    <w:p>
      <w:pPr>
        <w:spacing w:before="240" w:after="240"/>
        <w:rPr>
          <w:lang w:val="el" w:eastAsia="el"/>
        </w:rPr>
      </w:pPr>
      <w:r>
        <w:rPr>
          <w:lang w:val="el" w:eastAsia="el"/>
        </w:rPr>
        <w:t xml:space="preserve">2. </w:t>
      </w:r>
      <w:r>
        <w:rPr>
          <w:b/>
          <w:bCs/>
          <w:lang w:val="el" w:eastAsia="el"/>
        </w:rPr>
        <w:t>Η ισχύς των παρ. 4 και 9 του άρθρου 34 του ν.2725/1999 (Α΄121), όπως τροποποιούνται με το άρθρο 11 του παρόντος, περί της διεύρυνσης των νικών σε Ολυμπιακούς Αγώνες, που οδηγούν σε παροχή οικονομικής επιβράβευσης και διορισμό στο Δημόσιο, αρχίζει από την 1</w:t>
      </w:r>
      <w:r>
        <w:rPr>
          <w:b/>
          <w:bCs/>
          <w:sz w:val="30"/>
          <w:szCs w:val="30"/>
          <w:vertAlign w:val="superscript"/>
          <w:lang w:val="el" w:eastAsia="el"/>
        </w:rPr>
        <w:t xml:space="preserve">η </w:t>
      </w:r>
      <w:r>
        <w:rPr>
          <w:b/>
          <w:bCs/>
          <w:lang w:val="el" w:eastAsia="el"/>
        </w:rPr>
        <w:t>Ιουλίου 2012.».</w:t>
      </w:r>
    </w:p>
    <w:p>
      <w:pPr>
        <w:spacing w:before="240" w:after="240"/>
        <w:rPr>
          <w:lang w:val="el" w:eastAsia="el"/>
        </w:rPr>
      </w:pPr>
      <w:r>
        <w:rPr>
          <w:b/>
          <w:bCs/>
          <w:lang w:val="el" w:eastAsia="el"/>
        </w:rPr>
        <w:t>Συνημμένα: Απόσπασμα του ΦΕΚ Α΄17/7.02.2025: άρθρα 4, 12, 33 και 39 του ν. 5176/2025</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 Τμήματα Α,Β,Γ, Γραμματεία</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