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ΑΝΑΡΤΗΤΕΑ ΣΤΟ ΔΙΑΔΙΚΤΥΟ</w:t>
      </w:r>
    </w:p>
    <w:p>
      <w:pPr>
        <w:pStyle w:val="Title"/>
        <w:spacing w:before="120" w:after="360"/>
        <w:rPr>
          <w:lang w:val="el" w:eastAsia="el"/>
        </w:rPr>
      </w:pPr>
      <w:r>
        <w:rPr>
          <w:b/>
          <w:bCs/>
          <w:lang w:val="el" w:eastAsia="el"/>
        </w:rPr>
        <w:t>ΑΔΑ: 9ΣΡΓ46ΜΠ3Ζ-ΗΨΚ</w:t>
      </w:r>
    </w:p>
    <w:p>
      <w:pPr>
        <w:pStyle w:val="Title"/>
        <w:spacing w:before="120" w:after="360"/>
        <w:rPr>
          <w:lang w:val="el" w:eastAsia="el"/>
        </w:rPr>
      </w:pPr>
      <w:r>
        <w:rPr>
          <w:lang w:val="el" w:eastAsia="el"/>
        </w:rPr>
        <w:t xml:space="preserve">3. </w:t>
      </w:r>
      <w:r>
        <w:rPr>
          <w:b/>
          <w:bCs/>
          <w:lang w:val="el" w:eastAsia="el"/>
        </w:rPr>
        <w:t>ΔΙΕΥΘΥΝΣΗ ΔΙΑΔΙΚΑΣΙΩΝ ΕΙΣΠΡΑΞΕΩΝ</w:t>
      </w:r>
    </w:p>
    <w:p>
      <w:pPr>
        <w:pStyle w:val="PreambelText"/>
        <w:spacing w:before="240" w:after="240"/>
        <w:rPr>
          <w:lang w:val="el" w:eastAsia="el"/>
        </w:rPr>
      </w:pPr>
      <w:r>
        <w:rPr>
          <w:b/>
          <w:bCs/>
          <w:lang w:val="el" w:eastAsia="el"/>
        </w:rPr>
        <w:t>ΘΕΜΑ: Κοινοποίηση των διατάξεων των άρθρων 32, 33, 36, 37 και 42 του ν. 5178/2025 (Α΄22) «Μέτρα για την ισόρροπη εκπροσώπηση των φύλων σε θέσεις διευθυντικών στελεχών των εισηγμένων εταιρειών, των μη εισηγμένων ανωνύμων εταιρειών και των δημοσίων επιχειρήσεων - Ενσωμάτωση της Οδηγίας (Ε.Ε.) 2022/2381 του Ευρωπαϊκού Κοινοβουλίου και του Συμβουλίου της 23ης Νοεμβρίου 2022 - Ρυθμίσεις για την ενδυνάμωση των πιλοτικών προγραμμάτων για την ενίσχυση της κοινωνικής συνοχής - Πρόγραμμα Δημογραφικής Ανάπτυξης και άλλες διατάξεις».</w:t>
      </w:r>
    </w:p>
    <w:p>
      <w:pPr>
        <w:pStyle w:val="enacting"/>
        <w:spacing w:before="120" w:after="0"/>
        <w:rPr>
          <w:lang w:val="el" w:eastAsia="el"/>
        </w:rPr>
      </w:pPr>
      <w:r>
        <w:rPr>
          <w:b/>
          <w:bCs/>
          <w:lang w:val="el" w:eastAsia="el"/>
        </w:rPr>
        <w:t>ΠΕΡΙΛΗΨΗ</w:t>
      </w:r>
    </w:p>
    <w:p>
      <w:pPr>
        <w:pStyle w:val="PreambelText"/>
        <w:spacing w:before="240" w:after="240"/>
        <w:rPr>
          <w:lang w:val="el" w:eastAsia="el"/>
        </w:rPr>
      </w:pPr>
      <w:r>
        <w:rPr>
          <w:b/>
          <w:bCs/>
          <w:lang w:val="el" w:eastAsia="el"/>
        </w:rPr>
        <w:t>Α) ΑΝΤΙΚΕΙΜΕΝΟ</w:t>
      </w:r>
    </w:p>
    <w:p>
      <w:pPr>
        <w:pStyle w:val="PreambelText"/>
        <w:spacing w:before="240" w:after="240"/>
        <w:rPr>
          <w:lang w:val="el" w:eastAsia="el"/>
        </w:rPr>
      </w:pPr>
      <w:r>
        <w:rPr>
          <w:b/>
          <w:bCs/>
          <w:lang w:val="el" w:eastAsia="el"/>
        </w:rPr>
        <w:t>Κοινοποίηση των άρθρων 32, 33, 36, 37 και 42 του ν. 5178/2025</w:t>
      </w:r>
    </w:p>
    <w:p>
      <w:pPr>
        <w:pStyle w:val="PreambelText"/>
        <w:spacing w:before="240" w:after="240"/>
        <w:rPr>
          <w:lang w:val="el" w:eastAsia="el"/>
        </w:rPr>
      </w:pPr>
      <w:r>
        <w:rPr>
          <w:b/>
          <w:bCs/>
          <w:lang w:val="el" w:eastAsia="el"/>
        </w:rPr>
        <w:t>Β) ΠΕΡΙΕΧΟΜΕΝΟ</w:t>
      </w:r>
    </w:p>
    <w:p>
      <w:pPr>
        <w:pStyle w:val="PreambelText"/>
        <w:spacing w:before="240" w:after="240"/>
        <w:rPr>
          <w:lang w:val="el" w:eastAsia="el"/>
        </w:rPr>
      </w:pPr>
      <w:r>
        <w:rPr>
          <w:b/>
          <w:bCs/>
          <w:lang w:val="el" w:eastAsia="el"/>
        </w:rPr>
        <w:t>Κοινοποίηση των διατάξεων των κάτωθι άρθρων του ν. 5178/2025:</w:t>
      </w:r>
    </w:p>
    <w:p>
      <w:pPr>
        <w:pStyle w:val="PreambelText"/>
        <w:spacing w:before="240" w:after="240"/>
        <w:rPr>
          <w:lang w:val="el" w:eastAsia="el"/>
        </w:rPr>
      </w:pPr>
      <w:r>
        <w:rPr>
          <w:lang w:val="el" w:eastAsia="el"/>
        </w:rPr>
        <w:t xml:space="preserve">1. </w:t>
      </w:r>
      <w:r>
        <w:rPr>
          <w:b/>
          <w:bCs/>
          <w:lang w:val="el" w:eastAsia="el"/>
        </w:rPr>
        <w:t>του άρθρου 32 «Πρόγραμμα Δημογραφικής Ανάπτυξης»</w:t>
      </w:r>
    </w:p>
    <w:p>
      <w:pPr>
        <w:pStyle w:val="PreambelText"/>
        <w:spacing w:before="240" w:after="240"/>
        <w:rPr>
          <w:lang w:val="el" w:eastAsia="el"/>
        </w:rPr>
      </w:pPr>
      <w:r>
        <w:rPr>
          <w:lang w:val="el" w:eastAsia="el"/>
        </w:rPr>
        <w:t xml:space="preserve">2. </w:t>
      </w:r>
      <w:r>
        <w:rPr>
          <w:b/>
          <w:bCs/>
          <w:lang w:val="el" w:eastAsia="el"/>
        </w:rPr>
        <w:t>του άρθρου 33 «Έκτακτα και επείγοντα μέτρα για την προστασία των θέσεων εργασίας στους Δήμους Θήρας, Αμοργού και Ανάφης»</w:t>
      </w:r>
    </w:p>
    <w:p>
      <w:pPr>
        <w:pStyle w:val="PreambelText"/>
        <w:spacing w:before="240" w:after="240"/>
        <w:rPr>
          <w:lang w:val="el" w:eastAsia="el"/>
        </w:rPr>
      </w:pPr>
      <w:r>
        <w:rPr>
          <w:lang w:val="el" w:eastAsia="el"/>
        </w:rPr>
        <w:t xml:space="preserve">3. </w:t>
      </w:r>
      <w:r>
        <w:rPr>
          <w:b/>
          <w:bCs/>
          <w:lang w:val="el" w:eastAsia="el"/>
        </w:rPr>
        <w:t>του άρθρου 36 «Απαλλαγές εισοδήματος από μισθωτή εργασία και συντάξεις - Τροποποίηση παρ. 1 άρθρου 14 Κώδικα Φορολογίας Εισοδήματος»</w:t>
      </w:r>
    </w:p>
    <w:p>
      <w:pPr>
        <w:pStyle w:val="PreambelText"/>
        <w:spacing w:before="240" w:after="240"/>
        <w:rPr>
          <w:lang w:val="el" w:eastAsia="el"/>
        </w:rPr>
      </w:pPr>
      <w:r>
        <w:rPr>
          <w:lang w:val="el" w:eastAsia="el"/>
        </w:rPr>
        <w:t xml:space="preserve">4. </w:t>
      </w:r>
      <w:r>
        <w:rPr>
          <w:b/>
          <w:bCs/>
          <w:lang w:val="el" w:eastAsia="el"/>
        </w:rPr>
        <w:t>του άρθρου 37 «Παράταση εξαίρεσης τηλεοπτικών σταθμών περιφερειακής εμβέλειας από ειδικό φόρο τηλεοπτικών διαφημίσεων»</w:t>
      </w:r>
    </w:p>
    <w:p>
      <w:pPr>
        <w:pStyle w:val="PreambelText"/>
        <w:spacing w:before="240" w:after="240"/>
        <w:rPr>
          <w:lang w:val="el" w:eastAsia="el"/>
        </w:rPr>
      </w:pPr>
      <w:r>
        <w:rPr>
          <w:lang w:val="el" w:eastAsia="el"/>
        </w:rPr>
        <w:t xml:space="preserve">5. </w:t>
      </w:r>
      <w:r>
        <w:rPr>
          <w:b/>
          <w:bCs/>
          <w:lang w:val="el" w:eastAsia="el"/>
        </w:rPr>
        <w:t>του άρθρου 42 «Έναρξη ισχύος»</w:t>
      </w:r>
    </w:p>
    <w:p>
      <w:pPr>
        <w:pStyle w:val="PreambelText"/>
        <w:spacing w:before="240" w:after="240"/>
        <w:rPr>
          <w:lang w:val="el" w:eastAsia="el"/>
        </w:rPr>
      </w:pPr>
      <w:r>
        <w:rPr>
          <w:b/>
          <w:bCs/>
          <w:lang w:val="el" w:eastAsia="el"/>
        </w:rPr>
        <w:t>Γ) ΠΕΔΙΟ ΕΦΑΡΜΟΓΗΣ</w:t>
      </w:r>
    </w:p>
    <w:p>
      <w:pPr>
        <w:pStyle w:val="PreambelText"/>
        <w:spacing w:before="240" w:after="240"/>
        <w:rPr>
          <w:lang w:val="el" w:eastAsia="el"/>
        </w:rPr>
      </w:pPr>
      <w:r>
        <w:rPr>
          <w:lang w:val="el" w:eastAsia="el"/>
        </w:rPr>
        <w:t xml:space="preserve">1. </w:t>
      </w:r>
      <w:r>
        <w:rPr>
          <w:b/>
          <w:bCs/>
          <w:lang w:val="el" w:eastAsia="el"/>
        </w:rPr>
        <w:t>το άρθρο 32 αφορά σε μονοπρόσωπα ή πολυπρόσωπα νοικοκυριά που μεταφέρουν την κύρια κατοικία και το κέντρο βιοτικών δραστηριοτήτων τους από δήμους ή δημοτικές ενότητες της επικράτειας, που ορίζονται με την απόφαση της παρ. 9, στους Δήμους Σουφλίου, Διδυμότειχου και Ορεστιάδας της Περιφερειακής Ενότητας Έβρου της Περιφέρειας Ανατολικής Μακεδονίας και Θράκης</w:t>
      </w:r>
    </w:p>
    <w:p>
      <w:pPr>
        <w:pStyle w:val="PreambelText"/>
        <w:spacing w:before="240" w:after="240"/>
        <w:rPr>
          <w:lang w:val="el" w:eastAsia="el"/>
        </w:rPr>
      </w:pPr>
      <w:r>
        <w:rPr>
          <w:lang w:val="el" w:eastAsia="el"/>
        </w:rPr>
        <w:t xml:space="preserve">2. </w:t>
      </w:r>
      <w:r>
        <w:rPr>
          <w:b/>
          <w:bCs/>
          <w:lang w:val="el" w:eastAsia="el"/>
        </w:rPr>
        <w:t>το άρθρο 33 αφορά σε φυσικά πρόσωπα εργαζόμενα στους δήμους Θήρας, Αμοργού και Ανάφης των οποίων η σύμβαση εργασίας τελεί σε αναστολή</w:t>
      </w:r>
    </w:p>
    <w:p>
      <w:pPr>
        <w:pStyle w:val="PreambelText"/>
        <w:spacing w:before="240" w:after="240"/>
        <w:rPr>
          <w:lang w:val="el" w:eastAsia="el"/>
        </w:rPr>
      </w:pPr>
      <w:r>
        <w:rPr>
          <w:lang w:val="el" w:eastAsia="el"/>
        </w:rPr>
        <w:t xml:space="preserve">3. </w:t>
      </w:r>
      <w:r>
        <w:rPr>
          <w:b/>
          <w:bCs/>
          <w:lang w:val="el" w:eastAsia="el"/>
        </w:rPr>
        <w:t>το άρθρο 36 αφορά φυσικά πρόσωπα</w:t>
      </w:r>
    </w:p>
    <w:p>
      <w:pPr>
        <w:pStyle w:val="PreambelText"/>
        <w:spacing w:before="240" w:after="240"/>
        <w:rPr>
          <w:lang w:val="el" w:eastAsia="el"/>
        </w:rPr>
      </w:pPr>
      <w:r>
        <w:rPr>
          <w:lang w:val="el" w:eastAsia="el"/>
        </w:rPr>
        <w:t xml:space="preserve">4. </w:t>
      </w:r>
      <w:r>
        <w:rPr>
          <w:b/>
          <w:bCs/>
          <w:lang w:val="el" w:eastAsia="el"/>
        </w:rPr>
        <w:t>το άρθρο 37 αφορά τους παρόχους περιεχομένου περιφερειακής εμβέλειας επίγειας ψηφιακής τηλεόρασης</w:t>
      </w:r>
    </w:p>
    <w:p>
      <w:pPr>
        <w:pStyle w:val="PreambelText"/>
        <w:spacing w:before="240" w:after="240"/>
        <w:rPr>
          <w:lang w:val="el" w:eastAsia="el"/>
        </w:rPr>
      </w:pPr>
      <w:r>
        <w:rPr>
          <w:lang w:val="el" w:eastAsia="el"/>
        </w:rPr>
        <w:t xml:space="preserve">5. </w:t>
      </w:r>
      <w:r>
        <w:rPr>
          <w:b/>
          <w:bCs/>
          <w:lang w:val="el" w:eastAsia="el"/>
        </w:rPr>
        <w:t>το άρθρο 42 αφορά στην έναρξη ισχύος</w:t>
      </w:r>
    </w:p>
    <w:p>
      <w:pPr>
        <w:pStyle w:val="PreambelText"/>
        <w:spacing w:before="240" w:after="240"/>
        <w:rPr>
          <w:lang w:val="el" w:eastAsia="el"/>
        </w:rPr>
      </w:pPr>
      <w:r>
        <w:rPr>
          <w:b/>
          <w:bCs/>
          <w:lang w:val="el" w:eastAsia="el"/>
        </w:rPr>
        <w:t>Σας κοινοποιούμε συνημμένα, για ενημέρωση και εφαρμογή, τις διατάξεις των άρθρων 32, 33, 36, 37 και 42 του ν. 5178/2025 (Α΄22), ως εξής:</w:t>
      </w:r>
    </w:p>
    <w:p>
      <w:pPr>
        <w:pStyle w:val="Heading6"/>
        <w:spacing w:before="240" w:after="240"/>
        <w:rPr>
          <w:lang w:val="el" w:eastAsia="el"/>
        </w:rPr>
      </w:pPr>
      <w:r>
        <w:rPr>
          <w:b/>
          <w:bCs/>
          <w:lang w:val="el" w:eastAsia="el"/>
        </w:rPr>
        <w:t xml:space="preserve">Άρθρο 32 </w:t>
      </w:r>
    </w:p>
    <w:p>
      <w:pPr>
        <w:pStyle w:val="Heading6"/>
        <w:spacing w:before="240" w:after="240"/>
        <w:rPr>
          <w:lang w:val="el" w:eastAsia="el"/>
        </w:rPr>
      </w:pPr>
      <w:r>
        <w:rPr>
          <w:b/>
          <w:bCs/>
          <w:lang w:val="el" w:eastAsia="el"/>
        </w:rPr>
        <w:t>«Πρόγραμμα Δημογραφικής Ανάπτυξης»</w:t>
      </w:r>
    </w:p>
    <w:p>
      <w:pPr>
        <w:spacing w:before="240" w:after="240"/>
        <w:rPr>
          <w:lang w:val="el" w:eastAsia="el"/>
        </w:rPr>
      </w:pPr>
      <w:r>
        <w:rPr>
          <w:b/>
          <w:bCs/>
          <w:lang w:val="el" w:eastAsia="el"/>
        </w:rPr>
        <w:t>Με την παρ.8 του άρθρου 32 του κοινοποιούμενου νόμου, ορίζεται ότι η οικονομική ενίσχυση, που χορηγείται σε μονοπρόσωπα ή πολυπρόσωπα νοικοκυριά που μεταφέρουν την κύρια κατοικία και το κέντρο βιοτικών δραστηριοτήτων τους από δήμους ή δημοτικές ενότητες της επικράτειας στους Δήμους Σουφλίου, Διδυμότειχου και Ορεστιάδας της Περιφερειακής Ενότητας Έβρου της Περιφέρειας Ανατολικής Μακεδονίας και Θράκης, δεν υπόκειται σε οποιονδήποτε φόρο, τέλος, εισφορά ή άλλη κράτηση υπέρ του Δημοσίου. Είναι ανεκχώρητη και ακατάσχετη στα χέρια του Δημοσίου ή τρίτων, κατά παρέκκλιση κάθε αντίθετης γενικής ή ειδικής διάταξης, δεν δεσμεύεται και δεν συμψηφίζεται με βεβαιωμένα χρέη στη Φορολογική Διοίκηση και το Δημόσιο εν γένει, τα νομικά πρόσωπα δημοσίου δικαίου, τους οργανισμούς τοπικής αυτοδιοίκησης και τα νομικά πρόσωπά τους, τα ασφαλιστικά ταμεία και τα πιστωτικά ιδρύματα και δεν υπολογίζεται στα εισοδηματικά όρια για την καταβολή οποιασδήποτε παροχής κοινωνικού ή προνοιακού χαρακτήρα. Οι ωφελούμενοι της ενίσχυσης αυτής απαλλάσσονται από την υποχρέωση προσκόμισης αποδεικτικού φορολογικής και ασφαλιστικής ενημερότητας για τη συμμετοχή τους στο Πρόγραμμα Δημογραφικής Ανάπτυξης και την είσπραξη της ενίσχυσης.</w:t>
      </w:r>
    </w:p>
    <w:p>
      <w:pPr>
        <w:pStyle w:val="Heading6"/>
        <w:spacing w:before="240" w:after="240"/>
        <w:rPr>
          <w:lang w:val="el" w:eastAsia="el"/>
        </w:rPr>
      </w:pPr>
      <w:r>
        <w:rPr>
          <w:b/>
          <w:bCs/>
          <w:lang w:val="el" w:eastAsia="el"/>
        </w:rPr>
        <w:t xml:space="preserve">Άρθρο 33 </w:t>
      </w:r>
    </w:p>
    <w:p>
      <w:pPr>
        <w:pStyle w:val="Heading6"/>
        <w:spacing w:before="240" w:after="240"/>
        <w:rPr>
          <w:lang w:val="el" w:eastAsia="el"/>
        </w:rPr>
      </w:pPr>
      <w:r>
        <w:rPr>
          <w:b/>
          <w:bCs/>
          <w:lang w:val="el" w:eastAsia="el"/>
        </w:rPr>
        <w:t>«Έκτακτα και επείγοντα μέτρα για την προστασία των θέσεων εργασίας στους Δήμους Θήρας, Αμοργού και Ανάφης»</w:t>
      </w:r>
    </w:p>
    <w:p>
      <w:pPr>
        <w:spacing w:before="240" w:after="240"/>
        <w:rPr>
          <w:lang w:val="el" w:eastAsia="el"/>
        </w:rPr>
      </w:pPr>
      <w:r>
        <w:rPr>
          <w:b/>
          <w:bCs/>
          <w:lang w:val="el" w:eastAsia="el"/>
        </w:rPr>
        <w:t>Με την παρ.6 του άρθρου 33 του κοινοποιούμενου νόμου, ορίζεται ότι η έκτακτη οικονομική ενίσχυση που χορηγείται σε εργαζόμενους στους δήμους Θήρας, Αμοργού και Ανάφης των οποίων η σύμβαση εργασίας τελεί σε αναστολή, είναι αφορολόγητη, ανεκχώρητη και ακατάσχετη στα χέρια του Δημοσίου ή τρίτων, κατά παρέκκλιση κάθε γενικής και ειδικής διάταξης, δεν υπόκειται σε οποιαδήποτε κράτηση, τέλος ή εισφορά, δεν δεσμεύεται και δεν συμψηφίζεται με βεβαιωμένα χρέη προς τη Φορολογική Διοίκηση και το Δημόσιο εν γένει, τους δήμους, τις περιφέρειες, τα ασφαλιστικά ταμεία ή τα πιστωτικά ιδρύματα.</w:t>
      </w:r>
    </w:p>
    <w:p>
      <w:pPr>
        <w:pStyle w:val="Heading6"/>
        <w:spacing w:before="240" w:after="240"/>
        <w:rPr>
          <w:lang w:val="el" w:eastAsia="el"/>
        </w:rPr>
      </w:pPr>
      <w:r>
        <w:rPr>
          <w:b/>
          <w:bCs/>
          <w:lang w:val="el" w:eastAsia="el"/>
        </w:rPr>
        <w:t xml:space="preserve">Άρθρο 36 </w:t>
      </w:r>
    </w:p>
    <w:p>
      <w:pPr>
        <w:pStyle w:val="Heading6"/>
        <w:spacing w:before="240" w:after="240"/>
        <w:rPr>
          <w:lang w:val="el" w:eastAsia="el"/>
        </w:rPr>
      </w:pPr>
      <w:r>
        <w:rPr>
          <w:b/>
          <w:bCs/>
          <w:lang w:val="el" w:eastAsia="el"/>
        </w:rPr>
        <w:t>«Απαλλαγές εισοδήματος από μισθωτή εργασία και συντάξεις - Τροποποίηση παρ. 1 άρθρου 14 Κώδικα Φορολογίας Εισοδήματος»</w:t>
      </w:r>
    </w:p>
    <w:p>
      <w:pPr>
        <w:pStyle w:val="MainText"/>
        <w:spacing w:before="120" w:after="0"/>
        <w:rPr>
          <w:lang w:val="el" w:eastAsia="el"/>
        </w:rPr>
      </w:pPr>
      <w:r>
        <w:rPr>
          <w:b/>
          <w:bCs/>
          <w:lang w:val="el" w:eastAsia="el"/>
        </w:rPr>
        <w:t>1.</w:t>
      </w:r>
      <w:r>
        <w:rPr>
          <w:lang w:val="el" w:eastAsia="el"/>
        </w:rPr>
        <w:t xml:space="preserve"> </w:t>
      </w:r>
      <w:r>
        <w:rPr>
          <w:b/>
          <w:bCs/>
          <w:lang w:val="el" w:eastAsia="el"/>
        </w:rPr>
        <w:t>Με την παρ.1 του άρθρου 36 του κοινοποιούμενου νόμου, ορίζεται ότι στην παρ. 1 του άρθρου 14 του Κώδικα Φορολογίας Εισοδήματος (ν. 4172/2013, Α’ 167), περί απαλλαγών εισοδήματος από μισθωτή εργασία και συντάξεις, επέρχονται οι ακόλουθες τροποποιήσεις: α) στην περ. ε): αα) οι λέξεις «που καταβάλλει ο εργαζόμενος περιλαμβανομένων των εισφορών εργοδότη και εργαζομένου» αντικαθίστανται από τις λέξεις «που καταβάλλονται από τον εργαζόμενο ή τον εργοδότη για λογαριασμό του εργαζομένου», αβ) οι λέξεις «το είκοσι τοις εκατό (20%) του ακαθάριστου εισοδήματος του εργαζομένου από μισθωτή εργασία» αντικαθίστανται από τις λέξεις «το ανώτατο ποσό που προβλέπεται στην παρ. 1 του άρθρου 105 του ν. 5078/2023 (Α’ 211)», β) στην περ. ι) οι λέξεις «το είκοσι τοις εκατό (20%) του ακαθάριστου εισοδήματος του εργαζομένου από μισθωτή εργασία» αντικαθίστανται από τις λέξεις «το ανώτατο ποσό που προβλέπεται στην παρ. 1 του άρθρου 105 του ν. 5078/2023», γ) στην περ. ια): γα) μετά από τις λέξεις «για την ιατροφαρμακευτική και νοσοκομειακή κάλυψη του εργαζομένου» προστίθενται οι λέξεις «, του συζύγου και των τέκνων του», γβ) οι λέξεις «του υπαλληλικού του προσωπικού» αντικαθίστανται από τις λέξεις «του εργαζόμενου, του συζύγου και των τέκνων του» και η παρ.1 διαμορφώνεται ως εξής:</w:t>
      </w:r>
    </w:p>
    <w:p>
      <w:pPr>
        <w:spacing w:before="240" w:after="240"/>
        <w:rPr>
          <w:lang w:val="el" w:eastAsia="el"/>
        </w:rPr>
      </w:pPr>
      <w:r>
        <w:rPr>
          <w:b/>
          <w:bCs/>
          <w:lang w:val="el" w:eastAsia="el"/>
        </w:rPr>
        <w:t>«1. Από τον υπολογισμό του εισοδήματος από μισθωτή εργασία και συντάξεις εξαιρούνται: α) η αποζημίωση εξόδων διαμονής και σίτισης και η ημερήσια αποζημίωση που έχουν καταβληθεί από τον εργαζόμενο αποκλειστικά για σκοπούς της επιχειρηματικής δραστηριότητας του εργοδότη,</w:t>
      </w:r>
    </w:p>
    <w:p>
      <w:pPr>
        <w:spacing w:before="240" w:after="240"/>
        <w:rPr>
          <w:lang w:val="el" w:eastAsia="el"/>
        </w:rPr>
      </w:pPr>
      <w:r>
        <w:rPr>
          <w:b/>
          <w:bCs/>
          <w:lang w:val="el" w:eastAsia="el"/>
        </w:rPr>
        <w:t>β) η αποζημίωση για έξοδα κίνησης που καταβάλλονται από τον εργοδότη για υπηρεσιακούς λόγους, συμπεριλαμβανομένης της αποζημίωσης για τη δαπάνη ηλεκτρικού ρεύματος για τη φόρτιση ατομικού ή εταιρικού οχήματος μηδενικών ή χαμηλών ρύπων έως 50 γρ. CO2/χλμ., εφόσον αφορούν έξοδα κίνησης που πραγματοποιήθηκαν από τον εργαζόμενο κατά την εκτέλεση της υπηρεσίας του και αποδεικνύονται από νόμιμα παραστατικά,</w:t>
      </w:r>
    </w:p>
    <w:p>
      <w:pPr>
        <w:spacing w:before="240" w:after="240"/>
        <w:rPr>
          <w:lang w:val="el" w:eastAsia="el"/>
        </w:rPr>
      </w:pPr>
      <w:r>
        <w:rPr>
          <w:b/>
          <w:bCs/>
          <w:lang w:val="el" w:eastAsia="el"/>
        </w:rPr>
        <w:t>γ) το επίδομα αλλοδαπής που χορηγείται σε υπαλλήλους του Υπουργείου Εξωτερικών και των λοιπών δημόσιων πολιτικών υπηρεσιών,</w:t>
      </w:r>
    </w:p>
    <w:p>
      <w:pPr>
        <w:spacing w:before="240" w:after="240"/>
        <w:rPr>
          <w:lang w:val="el" w:eastAsia="el"/>
        </w:rPr>
      </w:pPr>
      <w:r>
        <w:rPr>
          <w:b/>
          <w:bCs/>
          <w:lang w:val="el" w:eastAsia="el"/>
        </w:rPr>
        <w:t>δ) οι κρατήσεις υπέρ των ασφαλιστικών ταμείων, οι οποίες επιβάλλονται με νόμο, συμπεριλαμβανομένων των εισφορών εργαζομένου υπέρ των Ταμείων Επαγγελματικής Ασφάλισης υποχρεωτικής ασφάλισης,</w:t>
      </w:r>
    </w:p>
    <w:p>
      <w:pPr>
        <w:spacing w:before="240" w:after="240"/>
        <w:rPr>
          <w:lang w:val="el" w:eastAsia="el"/>
        </w:rPr>
      </w:pPr>
      <w:r>
        <w:rPr>
          <w:b/>
          <w:bCs/>
          <w:lang w:val="el" w:eastAsia="el"/>
        </w:rPr>
        <w:t>ε) οι ασφαλιστικές εισφορές για συνταξιοδοτικές παροχές που καταβάλλονται από τον εργαζόμενο ή τον εργοδότη για λογαριασμό του εργαζομένου υπέρ των Ταμείων Επαγγελματικής Ασφάλισης προαιρετικής ασφάλισης και υπέρ των ταμείων της παρ. 20 του άρθρου</w:t>
      </w:r>
    </w:p>
    <w:p>
      <w:pPr>
        <w:spacing w:before="240" w:after="240"/>
        <w:rPr>
          <w:lang w:val="el" w:eastAsia="el"/>
        </w:rPr>
      </w:pPr>
      <w:r>
        <w:rPr>
          <w:b/>
          <w:bCs/>
          <w:lang w:val="el" w:eastAsia="el"/>
        </w:rPr>
        <w:t>6 του ν. 3029/2002 (Α’ 160), οι οποίες δεν υπερβαίνουν το ανώτατο ποσό που προβλέπεται στην παρ. 1 του άρθρου 105 του ν. 5078/2023 (Α’ 211), εκτός εάν η υπέρβαση αφορά ποσά, η καταβολή των οποίων επιβάλλεται με απόφαση της αρμόδιας εποπτικής αρχής,</w:t>
      </w:r>
    </w:p>
    <w:p>
      <w:pPr>
        <w:spacing w:before="240" w:after="240"/>
        <w:rPr>
          <w:lang w:val="el" w:eastAsia="el"/>
        </w:rPr>
      </w:pPr>
      <w:r>
        <w:rPr>
          <w:b/>
          <w:bCs/>
          <w:lang w:val="el" w:eastAsia="el"/>
        </w:rPr>
        <w:t>στ) η εφάπαξ καταβαλλόμενη παροχή από ταμεία πρόνοιας και ασφαλιστικούς οργανισμούς του Δημοσίου στους ασφαλισμένους και τα εξαρτώμενα μέλη του ασφαλισμένου, ζ) η αξία των διατακτικών σίτισης αξίας έως έξι (6) ευρώ ανά εργάσιμη ημέρα, η) οι παροχές ασήμαντης αξίας μέχρι του ποσού των είκοσι επτά (27) ευρώ ετησίως, θ) τα ασφάλιστρα που καταβάλλονται από τον εργαζόμενο ή τον εργοδότη για λογαριασμό του εργαζομένου στο πλαίσιο ομαδικών ασφαλιστηρίων συνταξιοδοτικών συμβολαίων, τα οποία δεν υπερβαίνουν το ανώτατο ποσό που προβλέπεται στην παρ. 1 του άρθρου 105 του ν. 5078/2023, εκτός εάν η υπέρβαση αφορά ποσά, η καταβολή των οποίων επιβάλλεται με απόφαση της αρμόδιας εποπτικής αρχής,</w:t>
      </w:r>
    </w:p>
    <w:p>
      <w:pPr>
        <w:spacing w:before="240" w:after="240"/>
        <w:rPr>
          <w:lang w:val="el" w:eastAsia="el"/>
        </w:rPr>
      </w:pPr>
      <w:r>
        <w:rPr>
          <w:b/>
          <w:bCs/>
          <w:lang w:val="el" w:eastAsia="el"/>
        </w:rPr>
        <w:t>ι) οι εισφορές που καταβάλλονται από τον εργαζόμενο ή και τον εργοδότη για λογαριασμό του εργαζομένου σε Ταμείο Επαγγελματικής Ασφάλισης προαιρετικής ασφάλισης για την ιατροφαρμακευτική και νοσοκομειακή κάλυψη του εργαζομένου, του συζύγου και των τέκνων του ή για την κάλυψη του κινδύνου ζωής ή ανικανότητάς του, καθώς και τα ασφάλιστρα</w:t>
      </w:r>
    </w:p>
    <w:p>
      <w:pPr>
        <w:spacing w:before="240" w:after="240"/>
        <w:rPr>
          <w:lang w:val="el" w:eastAsia="el"/>
        </w:rPr>
      </w:pPr>
      <w:r>
        <w:rPr>
          <w:b/>
          <w:bCs/>
          <w:lang w:val="el" w:eastAsia="el"/>
        </w:rPr>
        <w:t>που καταβάλλονται από τον εργαζόμενο ή και τον εργοδότη για λογαριασμό του εργαζομένου για την ιατροφαρμακευτική και νοσοκομειακή κάλυψη του εργαζόμενου, του συζύγου και των τέκνων του ή για την κάλυψη του κινδύνου ζωής ή ανικανότητάς του στο πλαίσιο ασφαλιστηρίου συμβολαίου, μέχρι του ποσού των χιλίων πεντακοσίων (1.500) ευρώ ετησίως ανά εργαζόμενο, ια) η αποζημίωση για αγορά μηνιαίων ή ετήσιων καρτών απεριορίστων διαδρομών μέσων μαζικής μεταφοράς,</w:t>
      </w:r>
    </w:p>
    <w:p>
      <w:pPr>
        <w:spacing w:before="240" w:after="240"/>
        <w:rPr>
          <w:lang w:val="el" w:eastAsia="el"/>
        </w:rPr>
      </w:pPr>
      <w:r>
        <w:rPr>
          <w:b/>
          <w:bCs/>
          <w:lang w:val="el" w:eastAsia="el"/>
        </w:rPr>
        <w:t>ιβ) η αγοραία αξία της παραχώρησης ενός οχήματος μηδενικών ή χαμηλών ρύπων έως 50 γρ. CO2/χλμ. και με Λ.Τ.Π.Φ. έως σαράντα χιλιάδες (40.000) ευρώ, προς έναν εργαζόμενο ή εταίρο ή μέτοχο από ένα φυσικό ή νομικό πρόσωπο ή νομική οντότητα, για οποιοδήποτε χρονικό διάστημα εντός του φορολογικού έτους, με το υπόλοιπο της αξίας να θεωρείται φορολογητέο εισόδημα με βάση την κλίμακα των περ. α’ έως στ’ της παρ. 2 του άρθρου 13,</w:t>
      </w:r>
    </w:p>
    <w:p>
      <w:pPr>
        <w:spacing w:before="240" w:after="240"/>
        <w:rPr>
          <w:lang w:val="el" w:eastAsia="el"/>
        </w:rPr>
      </w:pPr>
      <w:r>
        <w:rPr>
          <w:b/>
          <w:bCs/>
          <w:lang w:val="el" w:eastAsia="el"/>
        </w:rPr>
        <w:t>ιγ) η παροχή σε είδος με τη μορφή μετοχών που λαμβάνει ένας εργαζόμενος ή εταίρος ή μέτοχος από νομικό πρόσωπο ή νομική οντότητα ανεξαρτήτως, εάν συνεχίζει να ισχύει η εργασιακή σχέση, εφόσον ασκηθεί το δικαίωμα προαίρεσης και οι μετοχές που αποκτώνται, μεταβιβαστούν μετά από τη συμπλήρωση είκοσι τεσσάρων (24) ή τριάντα έξι (36) μηνών από την απόκτησή τους ανάλογα με την περίπτωση κατ’ αντιστοιχία με το άρθρο 42Α,</w:t>
      </w:r>
    </w:p>
    <w:p>
      <w:pPr>
        <w:spacing w:before="240" w:after="240"/>
        <w:rPr>
          <w:lang w:val="el" w:eastAsia="el"/>
        </w:rPr>
      </w:pPr>
      <w:r>
        <w:rPr>
          <w:b/>
          <w:bCs/>
          <w:lang w:val="el" w:eastAsia="el"/>
        </w:rPr>
        <w:t>ιδ) η ελεγκτική αποζημίωση των παρ. 1 και 2 του άρθρου 70 του ν. 4647/2019 (Α’ 204), ιε) το άνευ χρηματικού ανταλλάγματος κόστος φόρτισης επιβατικού αυτοκινήτου μηδενικών ή χαμηλών ρύπων έως 50 γρ. CO2χλμ. στις εγκαταστάσεις του εργοδότη,</w:t>
      </w:r>
    </w:p>
    <w:p>
      <w:pPr>
        <w:spacing w:before="240" w:after="240"/>
        <w:rPr>
          <w:lang w:val="el" w:eastAsia="el"/>
        </w:rPr>
      </w:pPr>
      <w:r>
        <w:rPr>
          <w:b/>
          <w:bCs/>
          <w:lang w:val="el" w:eastAsia="el"/>
        </w:rPr>
        <w:t>ιστ) η παροχή σε είδος με τη μορφή μετοχών που λαμβάνει ένας εργαζόμενος ή εταίρος ή μέτοχος από νομικό πρόσωπο ή νομική οντότητα στο πλαίσιο προγραμμάτων δωρεάν διάθεσης μετοχών στα οποία τίθεται ως προϋπόθεση η επίτευξη συγκεκριμένων στόχων ή η επέλευση συγκεκριμένου γεγονότος, προκειμένου να πραγματοποιηθεί η διάθεση των μετοχών,</w:t>
      </w:r>
    </w:p>
    <w:p>
      <w:pPr>
        <w:spacing w:before="240" w:after="240"/>
        <w:rPr>
          <w:lang w:val="el" w:eastAsia="el"/>
        </w:rPr>
      </w:pPr>
      <w:r>
        <w:rPr>
          <w:b/>
          <w:bCs/>
          <w:lang w:val="el" w:eastAsia="el"/>
        </w:rPr>
        <w:t>ιζ) η αξία των διατακτικών εσωτερικού τουρισμού συνολικής αξίας έως τριακοσίων (300) ευρώ ετησίως για τα φορολογικά έτη 2020 και 2021,</w:t>
      </w:r>
    </w:p>
    <w:p>
      <w:pPr>
        <w:spacing w:before="240" w:after="240"/>
        <w:rPr>
          <w:lang w:val="el" w:eastAsia="el"/>
        </w:rPr>
      </w:pPr>
      <w:r>
        <w:rPr>
          <w:b/>
          <w:bCs/>
          <w:lang w:val="el" w:eastAsia="el"/>
        </w:rPr>
        <w:t>ιη) ανεξαρτήτως του φορέα που το χορηγεί, το εξωϊδρυματικό επίδομα και κάθε συναφές ποσό που καταβάλλεται σε ειδικές κατηγορίες ατόμων με αναπηρίες,</w:t>
      </w:r>
    </w:p>
    <w:p>
      <w:pPr>
        <w:spacing w:before="240" w:after="240"/>
        <w:rPr>
          <w:lang w:val="el" w:eastAsia="el"/>
        </w:rPr>
      </w:pPr>
      <w:r>
        <w:rPr>
          <w:b/>
          <w:bCs/>
          <w:lang w:val="el" w:eastAsia="el"/>
        </w:rPr>
        <w:t>ιθ) παροχές ύψους έως πέντε χιλιάδες (5.000) ευρώ ετησίως που χορηγούν οι εργοδότες στους εργαζόμενους για την κάλυψη εξόδων βρεφονηπιακών και παιδικών σταθμών, εφόσον η παροχή:</w:t>
      </w:r>
    </w:p>
    <w:p>
      <w:pPr>
        <w:spacing w:before="240" w:after="240"/>
        <w:rPr>
          <w:lang w:val="el" w:eastAsia="el"/>
        </w:rPr>
      </w:pPr>
      <w:r>
        <w:rPr>
          <w:b/>
          <w:bCs/>
          <w:lang w:val="el" w:eastAsia="el"/>
        </w:rPr>
        <w:t>α) ισχύει για όλους τους εργαζόμενους και έχει γνωστοποιηθεί με έναν από τους τρόπους που αναφέρονται</w:t>
      </w:r>
    </w:p>
    <w:p>
      <w:pPr>
        <w:spacing w:before="240" w:after="240"/>
        <w:rPr>
          <w:lang w:val="el" w:eastAsia="el"/>
        </w:rPr>
      </w:pPr>
      <w:r>
        <w:rPr>
          <w:b/>
          <w:bCs/>
          <w:lang w:val="el" w:eastAsia="el"/>
        </w:rPr>
        <w:t>στην παρ. 1 του άρθρου 71 του Κώδικα Ατομικού Εργατικού Δικαίου (π.δ. 80/2022, Α’ 222),</w:t>
      </w:r>
    </w:p>
    <w:p>
      <w:pPr>
        <w:spacing w:before="240" w:after="240"/>
        <w:rPr>
          <w:lang w:val="el" w:eastAsia="el"/>
        </w:rPr>
      </w:pPr>
      <w:r>
        <w:rPr>
          <w:b/>
          <w:bCs/>
          <w:lang w:val="el" w:eastAsia="el"/>
        </w:rPr>
        <w:t>β) καταβάλλεται στον εργαζόμενο από τον εργοδότη καθ’ υπέρβαση των συμφωνημένων αποδοχών,</w:t>
      </w:r>
    </w:p>
    <w:p>
      <w:pPr>
        <w:spacing w:before="240" w:after="240"/>
        <w:rPr>
          <w:lang w:val="el" w:eastAsia="el"/>
        </w:rPr>
      </w:pPr>
      <w:r>
        <w:rPr>
          <w:b/>
          <w:bCs/>
          <w:lang w:val="el" w:eastAsia="el"/>
        </w:rPr>
        <w:t>γ) αποδεδειγμένα χρησιμοποιείται για την κάλυψη των εξόδων βρεφονηπιακών και παιδικών σταθμών, καθώς:</w:t>
      </w:r>
    </w:p>
    <w:p>
      <w:pPr>
        <w:spacing w:before="240" w:after="240"/>
        <w:rPr>
          <w:lang w:val="el" w:eastAsia="el"/>
        </w:rPr>
      </w:pPr>
      <w:r>
        <w:rPr>
          <w:b/>
          <w:bCs/>
          <w:lang w:val="el" w:eastAsia="el"/>
        </w:rPr>
        <w:t>γα) καταβάλλεται σε χρήμα στον εργαζόμενο, εφόσον αυτός καταβάλλει το ποσό στον τρίτο που παρέχει τις σχετικές υπηρεσίες και στη συνέχεια προσκομίσει το οικείο φορολογικό στοιχείο στον εργοδότη ή</w:t>
      </w:r>
    </w:p>
    <w:p>
      <w:pPr>
        <w:spacing w:before="240" w:after="240"/>
        <w:rPr>
          <w:lang w:val="el" w:eastAsia="el"/>
        </w:rPr>
      </w:pPr>
      <w:r>
        <w:rPr>
          <w:b/>
          <w:bCs/>
          <w:lang w:val="el" w:eastAsia="el"/>
        </w:rPr>
        <w:t>γβ) καταβάλλεται στον εργαζόμενο με μορφή διατακτικών προς τον πάροχο των υπηρεσιών ή γγ) καταβάλλεται απευθείας από τον εργοδότη στον τρίτο πάροχο των υπηρεσιών,</w:t>
      </w:r>
    </w:p>
    <w:p>
      <w:pPr>
        <w:spacing w:before="240" w:after="240"/>
        <w:rPr>
          <w:lang w:val="el" w:eastAsia="el"/>
        </w:rPr>
      </w:pPr>
      <w:r>
        <w:rPr>
          <w:b/>
          <w:bCs/>
          <w:lang w:val="el" w:eastAsia="el"/>
        </w:rPr>
        <w:t>κ) παροχές που καταβάλλονται από εργοδότη σε εργαζόμενο ως ενίσχυση για την απόκτηση τέκνου εντός δώδεκα (12) μηνών από τον τοκετό, ύψους έως πέντε χιλιάδες (5.000) ευρώ, που προσαυξάνεται κατά πέντε χιλιάδες (5.000) ευρώ για κάθε άλλο εξαρτώμενο τέκνο που έχει ο δικαιούχος γονέας κατά τον χρόνο του τοκετού, εφόσον:</w:t>
      </w:r>
    </w:p>
    <w:p>
      <w:pPr>
        <w:spacing w:before="240" w:after="240"/>
        <w:rPr>
          <w:lang w:val="el" w:eastAsia="el"/>
        </w:rPr>
      </w:pPr>
      <w:r>
        <w:rPr>
          <w:b/>
          <w:bCs/>
          <w:lang w:val="el" w:eastAsia="el"/>
        </w:rPr>
        <w:t>α) η παροχή ισχύει για όλους τους εργαζόμενους και έχει γνωστοποιηθεί με έναν από τους τρόπους που αναφέρονται στην παρ. 1 του άρθρου 71 του Κώδικα Ατομικού Εργατικού Δικαίου, β) οι αποδοχές του εργαζομένου διατηρούνται τουλάχιστον στο ύψος που είχαν έξι (6) μήνες πριν από τον τοκετό ή κατά την πρόσληψη, αν αυτή έγινε σε χρονικό διάστημα μικρότερο του εξαμήνου πριν από τον τοκετό, και διατηρούνται τουλάχιστον στο ίδιο ύψος για χρονικό διάστημα έξι (6) μηνών τουλάχιστον μετά από τον τοκετό και</w:t>
      </w:r>
    </w:p>
    <w:p>
      <w:pPr>
        <w:spacing w:before="240" w:after="240"/>
        <w:rPr>
          <w:lang w:val="el" w:eastAsia="el"/>
        </w:rPr>
      </w:pPr>
      <w:r>
        <w:rPr>
          <w:b/>
          <w:bCs/>
          <w:lang w:val="el" w:eastAsia="el"/>
        </w:rPr>
        <w:t>γ) η παροχή έχει αναγγελθεί στην Επιθεώρηση Εργασίας.</w:t>
      </w:r>
    </w:p>
    <w:p>
      <w:pPr>
        <w:spacing w:before="240" w:after="240"/>
        <w:rPr>
          <w:lang w:val="el" w:eastAsia="el"/>
        </w:rPr>
      </w:pPr>
      <w:r>
        <w:rPr>
          <w:b/>
          <w:bCs/>
          <w:lang w:val="el" w:eastAsia="el"/>
        </w:rPr>
        <w:t>Με κοινή απόφαση των Υπουργών Εργασίας και Κοινωνικής Ασφάλισης, Εθνικής Οικονομίας και Οικονομικών και Κοινωνικής Συνοχής και Οικογένειας ορίζονται η διαδικασία και κάθε άλλο θέμα σχετικό με την αναγγελία της παροχής.»</w:t>
      </w:r>
    </w:p>
    <w:p>
      <w:pPr>
        <w:pStyle w:val="MainText"/>
        <w:spacing w:before="120" w:after="0"/>
        <w:rPr>
          <w:lang w:val="el" w:eastAsia="el"/>
        </w:rPr>
      </w:pPr>
      <w:r>
        <w:rPr>
          <w:b/>
          <w:bCs/>
          <w:lang w:val="el" w:eastAsia="el"/>
        </w:rPr>
        <w:t>2.</w:t>
      </w:r>
      <w:r>
        <w:rPr>
          <w:lang w:val="el" w:eastAsia="el"/>
        </w:rPr>
        <w:t xml:space="preserve"> </w:t>
      </w:r>
      <w:r>
        <w:rPr>
          <w:b/>
          <w:bCs/>
          <w:lang w:val="el" w:eastAsia="el"/>
        </w:rPr>
        <w:t>Με την παρ.2 του άρθρου 36 του κοινοποιούμενου νόμου, ορίζεται ότι η παρ. 1 εφαρμόζεται για εισφορές και ασφάλιστρα που καταβάλλονται από το φορολογικό έτος 2024 και μετά.</w:t>
      </w:r>
    </w:p>
    <w:p>
      <w:pPr>
        <w:pStyle w:val="Heading6"/>
        <w:spacing w:before="240" w:after="240"/>
        <w:rPr>
          <w:lang w:val="el" w:eastAsia="el"/>
        </w:rPr>
      </w:pPr>
      <w:r>
        <w:rPr>
          <w:rStyle w:val="article-num"/>
          <w:b/>
          <w:bCs/>
          <w:lang w:val="el" w:eastAsia="el"/>
        </w:rPr>
        <w:t>Άρθρο 37</w:t>
      </w:r>
    </w:p>
    <w:p>
      <w:pPr>
        <w:spacing w:before="240" w:after="240"/>
        <w:rPr>
          <w:lang w:val="el" w:eastAsia="el"/>
        </w:rPr>
      </w:pPr>
      <w:r>
        <w:rPr>
          <w:b/>
          <w:bCs/>
          <w:lang w:val="el" w:eastAsia="el"/>
        </w:rPr>
        <w:t>Με το άρθρο 37 του κοινοποιούμενου νόμου ορίζεται ότι η ισχύς της παραγράφου 12Α του άρθρου πέμπτου του ν. 3845/2010 (Α΄ 65), περί απαλλαγής από την επιβολή του ειδικού φόρου τηλεοπτικών διαφημίσεων στους παρόχους περιεχομένου περιφερειακής εμβέλειας επίγειας ψηφιακής τηλεόρασης, παρατείνεται από τη λήξη της έως τις 31.12.2025.</w:t>
      </w:r>
    </w:p>
    <w:p>
      <w:pPr>
        <w:pStyle w:val="Heading6"/>
        <w:spacing w:before="240" w:after="240"/>
        <w:rPr>
          <w:lang w:val="el" w:eastAsia="el"/>
        </w:rPr>
      </w:pPr>
      <w:r>
        <w:rPr>
          <w:b/>
          <w:bCs/>
          <w:lang w:val="el" w:eastAsia="el"/>
        </w:rPr>
        <w:t xml:space="preserve">Άρθρο 42 </w:t>
      </w:r>
    </w:p>
    <w:p>
      <w:pPr>
        <w:pStyle w:val="Heading6"/>
        <w:spacing w:before="240" w:after="240"/>
        <w:rPr>
          <w:lang w:val="el" w:eastAsia="el"/>
        </w:rPr>
      </w:pPr>
      <w:r>
        <w:rPr>
          <w:b/>
          <w:bCs/>
          <w:lang w:val="el" w:eastAsia="el"/>
        </w:rPr>
        <w:t>«Έναρξη ισχύος»</w:t>
      </w:r>
    </w:p>
    <w:p>
      <w:pPr>
        <w:spacing w:before="240" w:after="240"/>
        <w:rPr>
          <w:lang w:val="el" w:eastAsia="el"/>
        </w:rPr>
      </w:pPr>
      <w:r>
        <w:rPr>
          <w:b/>
          <w:bCs/>
          <w:lang w:val="el" w:eastAsia="el"/>
        </w:rPr>
        <w:t>Σύμφωνα με την παρ.1 του άρθρου 42 του κοινοποιούμενου νόμου, η ισχύς αυτού αρχίζει από τη δημοσίευσή του στην Εφημερίδα της Κυβερνήσεως, με την επιφύλαξη της παρ.2 του ίδιου άρθρου.</w:t>
      </w:r>
    </w:p>
    <w:p>
      <w:pPr>
        <w:spacing w:before="240" w:after="240"/>
        <w:rPr>
          <w:lang w:val="el" w:eastAsia="el"/>
        </w:rPr>
      </w:pPr>
      <w:r>
        <w:rPr>
          <w:b/>
          <w:bCs/>
          <w:lang w:val="el" w:eastAsia="el"/>
        </w:rPr>
        <w:t>Ο ΔΙΟΙΚΗΤΗΣ ΤΗΣ ΑΑΔΕ</w:t>
      </w:r>
    </w:p>
    <w:p>
      <w:pPr>
        <w:spacing w:before="240" w:after="240"/>
        <w:rPr>
          <w:lang w:val="el" w:eastAsia="el"/>
        </w:rPr>
      </w:pPr>
      <w:r>
        <w:rPr>
          <w:b/>
          <w:bCs/>
          <w:lang w:val="el" w:eastAsia="el"/>
        </w:rPr>
        <w:t>ΓΕΩΡΓΙΟΣ ΠΙΤΣΙΛΗΣ</w:t>
      </w:r>
    </w:p>
    <w:p>
      <w:pPr>
        <w:spacing w:before="240" w:after="240"/>
        <w:rPr>
          <w:lang w:val="el" w:eastAsia="el"/>
        </w:rPr>
      </w:pPr>
      <w:r>
        <w:rPr>
          <w:b/>
          <w:bCs/>
          <w:lang w:val="el" w:eastAsia="el"/>
        </w:rPr>
        <w:t>Συνημμένο: Απόσπασμα του ΦΕΚ Α’ 22/14.2.2025 (ν.5178/2025)</w:t>
      </w:r>
    </w:p>
    <w:p>
      <w:pPr>
        <w:spacing w:before="240" w:after="240"/>
        <w:rPr>
          <w:lang w:val="el" w:eastAsia="el"/>
        </w:rPr>
      </w:pPr>
      <w:r>
        <w:rPr>
          <w:b/>
          <w:bCs/>
          <w:lang w:val="el" w:eastAsia="el"/>
        </w:rPr>
        <w:t>ΠΙΝΑΚΑΣ ΑΠΟΔΕΚΤΩΝ</w:t>
      </w:r>
    </w:p>
    <w:p>
      <w:pPr>
        <w:spacing w:before="240" w:after="240"/>
        <w:rPr>
          <w:lang w:val="el" w:eastAsia="el"/>
        </w:rPr>
      </w:pPr>
      <w:r>
        <w:rPr>
          <w:b/>
          <w:bCs/>
          <w:lang w:val="el" w:eastAsia="el"/>
        </w:rPr>
        <w:t>Ι. ΑΠΟΔΕΚΤΕΣ ΠΡΟΣ ΕΝΕΡΓΕΙΑ</w:t>
      </w:r>
    </w:p>
    <w:p>
      <w:pPr>
        <w:pStyle w:val="MainText"/>
        <w:spacing w:before="120" w:after="0"/>
        <w:rPr>
          <w:lang w:val="el" w:eastAsia="el"/>
        </w:rPr>
      </w:pPr>
      <w:r>
        <w:rPr>
          <w:b/>
          <w:bCs/>
          <w:lang w:val="el" w:eastAsia="el"/>
        </w:rPr>
        <w:t>1.</w:t>
      </w:r>
      <w:r>
        <w:rPr>
          <w:lang w:val="el" w:eastAsia="el"/>
        </w:rPr>
        <w:t xml:space="preserve"> </w:t>
      </w:r>
      <w:r>
        <w:rPr>
          <w:b/>
          <w:bCs/>
          <w:lang w:val="el" w:eastAsia="el"/>
        </w:rPr>
        <w:t>Αποδέκτες Πίνακα Γ΄</w:t>
      </w:r>
    </w:p>
    <w:p>
      <w:pPr>
        <w:pStyle w:val="MainText"/>
        <w:spacing w:before="120" w:after="0"/>
        <w:rPr>
          <w:lang w:val="el" w:eastAsia="el"/>
        </w:rPr>
      </w:pPr>
      <w:r>
        <w:rPr>
          <w:b/>
          <w:bCs/>
          <w:lang w:val="el" w:eastAsia="el"/>
        </w:rPr>
        <w:t>2.</w:t>
      </w:r>
      <w:r>
        <w:rPr>
          <w:lang w:val="el" w:eastAsia="el"/>
        </w:rPr>
        <w:t xml:space="preserve"> </w:t>
      </w:r>
      <w:r>
        <w:rPr>
          <w:b/>
          <w:bCs/>
          <w:lang w:val="el" w:eastAsia="el"/>
        </w:rPr>
        <w:t>Διεύθυνση Στρατηγικής Τεχνολογιών Πληροφορικής (με την παράκληση να αναρτηθεί στην ιστοσελίδα της ΑΑΔΕ)</w:t>
      </w:r>
    </w:p>
    <w:p>
      <w:pPr>
        <w:pStyle w:val="MainText"/>
        <w:spacing w:before="120" w:after="0"/>
        <w:rPr>
          <w:lang w:val="el" w:eastAsia="el"/>
        </w:rPr>
      </w:pPr>
      <w:r>
        <w:rPr>
          <w:b/>
          <w:bCs/>
          <w:lang w:val="el" w:eastAsia="el"/>
        </w:rPr>
        <w:t>3.</w:t>
      </w:r>
      <w:r>
        <w:rPr>
          <w:lang w:val="el" w:eastAsia="el"/>
        </w:rPr>
        <w:t xml:space="preserve"> </w:t>
      </w:r>
      <w:r>
        <w:rPr>
          <w:b/>
          <w:bCs/>
          <w:lang w:val="el" w:eastAsia="el"/>
        </w:rPr>
        <w:t>Διεύθυνση Επικοινωνίας</w:t>
      </w:r>
    </w:p>
    <w:p>
      <w:pPr>
        <w:pStyle w:val="MainText"/>
        <w:spacing w:before="120" w:after="0"/>
        <w:rPr>
          <w:lang w:val="el" w:eastAsia="el"/>
        </w:rPr>
      </w:pPr>
      <w:r>
        <w:rPr>
          <w:b/>
          <w:bCs/>
          <w:lang w:val="el" w:eastAsia="el"/>
        </w:rPr>
        <w:t>4.</w:t>
      </w:r>
      <w:r>
        <w:rPr>
          <w:lang w:val="el" w:eastAsia="el"/>
        </w:rPr>
        <w:t xml:space="preserve"> </w:t>
      </w:r>
      <w:r>
        <w:rPr>
          <w:b/>
          <w:bCs/>
          <w:lang w:val="el" w:eastAsia="el"/>
        </w:rPr>
        <w:t>Ηλεκτρονική Βιβλιοθήκη</w:t>
      </w:r>
    </w:p>
    <w:p>
      <w:pPr>
        <w:spacing w:before="240" w:after="240"/>
        <w:rPr>
          <w:lang w:val="el" w:eastAsia="el"/>
        </w:rPr>
      </w:pPr>
      <w:r>
        <w:rPr>
          <w:b/>
          <w:bCs/>
          <w:lang w:val="el" w:eastAsia="el"/>
        </w:rPr>
        <w:t>ΙΙ. ΑΠΟΔΕΚΤΕΣ ΓΙΑ ΚΟΙΝΟΠΟΙΗΣΗ</w:t>
      </w:r>
    </w:p>
    <w:p>
      <w:pPr>
        <w:pStyle w:val="MainText"/>
        <w:spacing w:before="120" w:after="0"/>
        <w:rPr>
          <w:lang w:val="el" w:eastAsia="el"/>
        </w:rPr>
      </w:pPr>
      <w:r>
        <w:rPr>
          <w:b/>
          <w:bCs/>
          <w:lang w:val="el" w:eastAsia="el"/>
        </w:rPr>
        <w:t>1.</w:t>
      </w:r>
      <w:r>
        <w:rPr>
          <w:lang w:val="el" w:eastAsia="el"/>
        </w:rPr>
        <w:t xml:space="preserve"> </w:t>
      </w:r>
      <w:r>
        <w:rPr>
          <w:b/>
          <w:bCs/>
          <w:lang w:val="el" w:eastAsia="el"/>
        </w:rPr>
        <w:t>Αποδέκτες Πίνακα Α΄ (πλην των αποδεκτών προς ενέργεια)</w:t>
      </w:r>
    </w:p>
    <w:p>
      <w:pPr>
        <w:pStyle w:val="MainText"/>
        <w:spacing w:before="120" w:after="0"/>
        <w:rPr>
          <w:lang w:val="el" w:eastAsia="el"/>
        </w:rPr>
      </w:pPr>
      <w:r>
        <w:rPr>
          <w:b/>
          <w:bCs/>
          <w:lang w:val="el" w:eastAsia="el"/>
        </w:rPr>
        <w:t>2.</w:t>
      </w:r>
      <w:r>
        <w:rPr>
          <w:lang w:val="el" w:eastAsia="el"/>
        </w:rPr>
        <w:t xml:space="preserve"> </w:t>
      </w:r>
      <w:r>
        <w:rPr>
          <w:b/>
          <w:bCs/>
          <w:lang w:val="el" w:eastAsia="el"/>
        </w:rPr>
        <w:t>Αποδέκτες Πίνακα Β΄</w:t>
      </w:r>
    </w:p>
    <w:p>
      <w:pPr>
        <w:pStyle w:val="MainText"/>
        <w:spacing w:before="120" w:after="0"/>
        <w:rPr>
          <w:lang w:val="el" w:eastAsia="el"/>
        </w:rPr>
      </w:pPr>
      <w:r>
        <w:rPr>
          <w:b/>
          <w:bCs/>
          <w:lang w:val="el" w:eastAsia="el"/>
        </w:rPr>
        <w:t>3.</w:t>
      </w:r>
      <w:r>
        <w:rPr>
          <w:lang w:val="el" w:eastAsia="el"/>
        </w:rPr>
        <w:t xml:space="preserve"> </w:t>
      </w:r>
      <w:r>
        <w:rPr>
          <w:b/>
          <w:bCs/>
          <w:lang w:val="el" w:eastAsia="el"/>
        </w:rPr>
        <w:t>Αποδέκτες Πίνακα Δ΄</w:t>
      </w:r>
    </w:p>
    <w:p>
      <w:pPr>
        <w:pStyle w:val="MainText"/>
        <w:spacing w:before="120" w:after="0"/>
        <w:rPr>
          <w:lang w:val="el" w:eastAsia="el"/>
        </w:rPr>
      </w:pPr>
      <w:r>
        <w:rPr>
          <w:b/>
          <w:bCs/>
          <w:lang w:val="el" w:eastAsia="el"/>
        </w:rPr>
        <w:t>4.</w:t>
      </w:r>
      <w:r>
        <w:rPr>
          <w:lang w:val="el" w:eastAsia="el"/>
        </w:rPr>
        <w:t xml:space="preserve"> </w:t>
      </w:r>
      <w:r>
        <w:rPr>
          <w:b/>
          <w:bCs/>
          <w:lang w:val="el" w:eastAsia="el"/>
        </w:rPr>
        <w:t>Γραφείο Υπουργού Εθνικής Οικονομίας και Οικονομικών</w:t>
      </w:r>
    </w:p>
    <w:p>
      <w:pPr>
        <w:pStyle w:val="MainText"/>
        <w:spacing w:before="120" w:after="0"/>
        <w:rPr>
          <w:lang w:val="el" w:eastAsia="el"/>
        </w:rPr>
      </w:pPr>
      <w:r>
        <w:rPr>
          <w:b/>
          <w:bCs/>
          <w:lang w:val="el" w:eastAsia="el"/>
        </w:rPr>
        <w:t>5.</w:t>
      </w:r>
      <w:r>
        <w:rPr>
          <w:lang w:val="el" w:eastAsia="el"/>
        </w:rPr>
        <w:t xml:space="preserve"> </w:t>
      </w:r>
      <w:r>
        <w:rPr>
          <w:b/>
          <w:bCs/>
          <w:lang w:val="el" w:eastAsia="el"/>
        </w:rPr>
        <w:t>Γραφείο Υφυπουργού Εθνικής Οικονομίας και Οικονομικών</w:t>
      </w:r>
    </w:p>
    <w:p>
      <w:pPr>
        <w:pStyle w:val="MainText"/>
        <w:spacing w:before="120" w:after="0"/>
        <w:rPr>
          <w:lang w:val="el" w:eastAsia="el"/>
        </w:rPr>
      </w:pPr>
      <w:r>
        <w:rPr>
          <w:b/>
          <w:bCs/>
          <w:lang w:val="el" w:eastAsia="el"/>
        </w:rPr>
        <w:t>6.</w:t>
      </w:r>
      <w:r>
        <w:rPr>
          <w:lang w:val="el" w:eastAsia="el"/>
        </w:rPr>
        <w:t xml:space="preserve"> </w:t>
      </w:r>
      <w:r>
        <w:rPr>
          <w:b/>
          <w:bCs/>
          <w:lang w:val="el" w:eastAsia="el"/>
        </w:rPr>
        <w:t>Γραφείο Γενικής Γραμματέως Φορολογικής Πολιτικής</w:t>
      </w:r>
    </w:p>
    <w:p>
      <w:pPr>
        <w:spacing w:before="240" w:after="240"/>
        <w:rPr>
          <w:lang w:val="el" w:eastAsia="el"/>
        </w:rPr>
      </w:pPr>
      <w:r>
        <w:rPr>
          <w:b/>
          <w:bCs/>
          <w:lang w:val="el" w:eastAsia="el"/>
        </w:rPr>
        <w:t>III. ΕΣΩΤΕΡΙΚΗ ΔΙΑΝΟΜΗ</w:t>
      </w:r>
    </w:p>
    <w:p>
      <w:pPr>
        <w:pStyle w:val="MainText"/>
        <w:spacing w:before="120" w:after="0"/>
        <w:rPr>
          <w:lang w:val="el" w:eastAsia="el"/>
        </w:rPr>
      </w:pPr>
      <w:r>
        <w:rPr>
          <w:b/>
          <w:bCs/>
          <w:lang w:val="el" w:eastAsia="el"/>
        </w:rPr>
        <w:t>1.</w:t>
      </w:r>
      <w:r>
        <w:rPr>
          <w:lang w:val="el" w:eastAsia="el"/>
        </w:rPr>
        <w:t xml:space="preserve"> </w:t>
      </w:r>
      <w:r>
        <w:rPr>
          <w:b/>
          <w:bCs/>
          <w:lang w:val="el" w:eastAsia="el"/>
        </w:rPr>
        <w:t>Γραφείο Διοικητή Ανεξάρτητης Αρχής Δημοσίων Εσόδων</w:t>
      </w:r>
    </w:p>
    <w:p>
      <w:pPr>
        <w:pStyle w:val="MainText"/>
        <w:spacing w:before="120" w:after="0"/>
        <w:rPr>
          <w:lang w:val="el" w:eastAsia="el"/>
        </w:rPr>
      </w:pPr>
      <w:r>
        <w:rPr>
          <w:b/>
          <w:bCs/>
          <w:lang w:val="el" w:eastAsia="el"/>
        </w:rPr>
        <w:t>2.</w:t>
      </w:r>
      <w:r>
        <w:rPr>
          <w:lang w:val="el" w:eastAsia="el"/>
        </w:rPr>
        <w:t xml:space="preserve"> </w:t>
      </w:r>
      <w:r>
        <w:rPr>
          <w:b/>
          <w:bCs/>
          <w:lang w:val="el" w:eastAsia="el"/>
        </w:rPr>
        <w:t>Γραφείο Προϊσταμένου Γενικής Διεύθυνσης Φορολογίας</w:t>
      </w:r>
    </w:p>
    <w:p>
      <w:pPr>
        <w:pStyle w:val="MainText"/>
        <w:spacing w:before="120" w:after="0"/>
        <w:rPr>
          <w:lang w:val="el" w:eastAsia="el"/>
        </w:rPr>
      </w:pPr>
      <w:r>
        <w:rPr>
          <w:b/>
          <w:bCs/>
          <w:lang w:val="el" w:eastAsia="el"/>
        </w:rPr>
        <w:t>3.</w:t>
      </w:r>
      <w:r>
        <w:rPr>
          <w:lang w:val="el" w:eastAsia="el"/>
        </w:rPr>
        <w:t xml:space="preserve"> </w:t>
      </w:r>
      <w:r>
        <w:rPr>
          <w:b/>
          <w:bCs/>
          <w:lang w:val="el" w:eastAsia="el"/>
        </w:rPr>
        <w:t>Διεύθυνση Νομικής Υποστήριξης</w:t>
      </w:r>
    </w:p>
    <w:p>
      <w:pPr>
        <w:pStyle w:val="MainText"/>
        <w:spacing w:before="120" w:after="0"/>
        <w:rPr>
          <w:lang w:val="el" w:eastAsia="el"/>
        </w:rPr>
      </w:pPr>
      <w:r>
        <w:rPr>
          <w:b/>
          <w:bCs/>
          <w:lang w:val="el" w:eastAsia="el"/>
        </w:rPr>
        <w:t>4.</w:t>
      </w:r>
      <w:r>
        <w:rPr>
          <w:lang w:val="el" w:eastAsia="el"/>
        </w:rPr>
        <w:t xml:space="preserve"> </w:t>
      </w:r>
      <w:r>
        <w:rPr>
          <w:b/>
          <w:bCs/>
          <w:lang w:val="el" w:eastAsia="el"/>
        </w:rPr>
        <w:t>Αυτοτελές Τμήμα Συντονισμού Μεταρρυθμιστικών Δράσεων και Επικοινωνίας</w:t>
      </w:r>
    </w:p>
    <w:p>
      <w:pPr>
        <w:pStyle w:val="MainText"/>
        <w:spacing w:before="120" w:after="0"/>
        <w:rPr>
          <w:lang w:val="el" w:eastAsia="el"/>
        </w:rPr>
      </w:pPr>
      <w:r>
        <w:rPr>
          <w:b/>
          <w:bCs/>
          <w:lang w:val="el" w:eastAsia="el"/>
        </w:rPr>
        <w:t>5.</w:t>
      </w:r>
      <w:r>
        <w:rPr>
          <w:lang w:val="el" w:eastAsia="el"/>
        </w:rPr>
        <w:t xml:space="preserve"> </w:t>
      </w:r>
      <w:r>
        <w:rPr>
          <w:b/>
          <w:bCs/>
          <w:lang w:val="el" w:eastAsia="el"/>
        </w:rPr>
        <w:t>Διεύθυνση Εφαρμογής Άμεσης Φορολογίας</w:t>
      </w:r>
    </w:p>
    <w:p>
      <w:pPr>
        <w:pStyle w:val="MainText"/>
        <w:spacing w:before="120" w:after="0"/>
        <w:rPr>
          <w:lang w:val="el" w:eastAsia="el"/>
        </w:rPr>
      </w:pPr>
      <w:r>
        <w:rPr>
          <w:b/>
          <w:bCs/>
          <w:lang w:val="el" w:eastAsia="el"/>
        </w:rPr>
        <w:t>6.</w:t>
      </w:r>
      <w:r>
        <w:rPr>
          <w:lang w:val="el" w:eastAsia="el"/>
        </w:rPr>
        <w:t xml:space="preserve"> </w:t>
      </w:r>
      <w:r>
        <w:rPr>
          <w:b/>
          <w:bCs/>
          <w:lang w:val="el" w:eastAsia="el"/>
        </w:rPr>
        <w:t>Διεύθυνση Εφαρμογής Έμμεσης Φορολογίας</w:t>
      </w:r>
    </w:p>
    <w:p>
      <w:pPr>
        <w:pStyle w:val="MainText"/>
        <w:spacing w:before="120" w:after="0"/>
        <w:rPr>
          <w:lang w:val="el" w:eastAsia="el"/>
        </w:rPr>
      </w:pPr>
      <w:r>
        <w:rPr>
          <w:b/>
          <w:bCs/>
          <w:lang w:val="el" w:eastAsia="el"/>
        </w:rPr>
        <w:t>7.</w:t>
      </w:r>
      <w:r>
        <w:rPr>
          <w:lang w:val="el" w:eastAsia="el"/>
        </w:rPr>
        <w:t xml:space="preserve"> </w:t>
      </w:r>
      <w:r>
        <w:rPr>
          <w:b/>
          <w:bCs/>
          <w:lang w:val="el" w:eastAsia="el"/>
        </w:rPr>
        <w:t>Διεύθυνση Διαδικασιών Εισπράξεων και Επιστροφών</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