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 ΔΙΕΥΘΥΝΣΗ ΕΦΑΡΜΟΓΗΣ ΕΜΜΕΣΗΣ ΦΟΡΟΛΟΓΙΑΣ (Δ.Ε.Ε.Φ.)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bscript"/>
          <w:lang w:val="el" w:eastAsia="el"/>
        </w:rPr>
        <w:t>Ταχ. Δ/νση :</w:t>
      </w:r>
      <w:r>
        <w:rPr>
          <w:b/>
          <w:bCs/>
          <w:lang w:val="el" w:eastAsia="el"/>
        </w:rPr>
        <w:t xml:space="preserve"> Πειραιώς 180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Τ.Κ. : 17778 Ταύρος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2131410131,133,142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Url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«Κοινοποίηση των διατάξεων του ν. 5177/2025 (Α΄21) «Κώδικας εμμέσων φόρων επί των συναλλαγών του πεδίου εφαρμογής του Κώδικα Φορολογικής Διαδικασίας, καθώς και λοιπών εμμέσων φόρων».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ΠΕΡΙΛΗΨΗ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ΑΝΤΙΚΕΙΜΕΝΟ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διατάξεων του ν. 5177/2025 (Α΄21) με τον οποίο κυρώνεται ο Κώδικας εμμέσων φόρων επί των συναλλαγών του πεδίου εφαρμογής του Κώδικα Φορολογικής Διαδικασίας, καθώς και λοιπών εμμέσων φόρων.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των διατάξεων του πρώτου άρθρου του ν. 5177/2025 (Α΄21) με το οποίο κυρώνεται ο Κώδικας εμμέσων φόρων επί των συναλλαγών του πεδίου εφαρμογής του Κώδικα Φορολογικής Διαδικασίας, καθώς και λοιπών εμμέσων φόρων, ο οποίος διαρθρώνεται ως εξής: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ΠΡΩΤΟ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ΨΗΦΙΑΚΟ ΤΕΛΟΣ ΣΥΝΑΛΛΑΓΗΣ (άρθρα 1-31)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ΔΕΥΤΕΡΟ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ΦΟΡΟΣ ΣΥΓΚΕΝΤΡΩΣΗΣ ΚΕΦΑΛΑΙΩΝ (άρθρα 32-42)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ΤΡΙΤΟ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ΦΟΡΟΣ ΑΣΦΑΛΙΣΤΡΩΝ (άρθρο 43)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ΤΕΤΑΡΤΟ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ΤΕΛΟΣ ΑΝΘΕΚΤΙΚΟΤΗΤΑΣ ΣΤΗΝ ΚΛΙΜΑΤΙΚΗ ΚΡΙΣΗ (άρθρο 44)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ΠΕΜΠΤΟ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ΤΕΛΟΣ ΣΥΝΔΡΟΜΗΤΩΝ ΚΙΝΗΤΗΣ ΚΑΙ ΣΤΑΘΕΡΗΣ ΤΗΛΕΦΩΝΙΑΣ, ΤΕΛΟΣ ΣΥΝΔΡΟΜΗΤΙΚΗΣ ΤΗΛΕΟΡΑΣΗΣ (άρθρα 45-47)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ΕΚΤΟ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ΕΙΔΙΚΟΣ ΦΟΡΟΣ ΣΕ ΕΙΔΗ ΠΟΛΥΤΕΛΕΙΑΣ (άρθρο 48)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ΕΒΔΟΜΟ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ΨΥΧΑΓΩΓΙΚΑ ΤΕΧΝΙΚΑ ΠΑΙΓΝΙΑ (άρθρο 49)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ΟΓΔΟΟ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ΕΙΣΦΟΡΑ ΔΑΚΟΚΤΟΝΙΑΣ (άρθρα 50-51)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ΕΝΑΤΟ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ΤΕΛΟΣ ΠΛΟΙΩΝ ΑΝΑΨΥΧΗΣ ΚΑΙ ΗΜΕΡΟΠΛΟΙΩΝ (άρθρο 52)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ΔΕΚΑΤΟ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ΤΕΛΗ ΚΥΚΛΟΦΟΡΙΑΣ (άρθρα 53-62)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ΤΕΛΙΚΕΣ ΔΙΑΤΑΞΕΙΣ (άρθρο 63)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των διατάξεων του δευτέρου άρθρου του ν. 5177/2025 (A΄21) το οποίο αφορά στην έναρξη ισχύος των διατάξεων αυτού,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του παραρτήματος κωδικοποιητικών και κωδικοποιούμενων διατάξεων.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πρώτο άρθρο αφορά στα φυσικά και νομικά πρόσωπα/οντότητες, υποκείμενους των εμμέσων φόρων επί των συναλλαγών του πεδίου εφαρμογής του Κώδικα Φορολογικής Διαδικασίας, καθώς και λοιπών εμμέσων φόρων.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δεύτερο άρθρο αφορά στην έναρξη ισχύος των διατάξεων του ν. 5177/2025 (A΄21).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παράρτημα περιέχει κωδικοποιητικές και κωδικοποιούμενες διατάξεις.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συνημμένα, για ενημέρωση και εφαρμογή, τις διατάξεις του ν. 5177/2025 (Α΄21) «Κώδικας εμμέσων φόρων επί των συναλλαγών του πεδίου εφαρμογής του Κώδικα Φορολογικής Διαδικασίας, καθώς και λοιπών εμμέσων φόρων»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πρώτο: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«Κύρωση του Κώδικα εμμέσων φόρων επί των συναλλαγών του πεδίου εφαρμογής του Κώδικα Φορολογικής Διαδικασίας, καθώς και λοιπών εμμέσων φόρων»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το πρώτο άρθρο του κοινοποιούμενου νόμου κυρώθηκε με τη διαδικασία της παρ. 6 του άρθρου 76 του Συντάγματος ο Κώδικας εμμέσων φόρων επί των συναλλαγών του πεδίου εφαρμογής του Κώδικα Φορολογικής Διαδικασίας, καθώς και λοιπών εμμέσων φόρων, ο οποίος διαρθρώνεται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ΠΡΩΤΟ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ΨΗΦΙΑΚΟ ΤΕΛΟΣ ΣΥΝΑΛΛΑΓΗΣ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ΑΝΤΙΚΕΙΜΕΝΟ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Αντικείμενο του Βιβλίου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ΠΕΔΙΟ ΕΦΑΡΜΟΓΗΣ, ΔΙΑΔΙΚΑΣΙΑ ΥΠΟΒΟΛΗΣ ΔΗΛΩΣΗΣ, ΑΠΟΔΟΣΗΣ ΚΑΙ ΕΠΙΣΤΡΟΦΗΣ ΤΟΥ ΨΗΦΙΑΚΟΥ ΤΕΛΟΥΣ ΣΥΝΑΛΛΑΓΗΣ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Αντικείμενο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Υποκείμενος και υπόχρεος δήλωσης και απόδοσης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Δήλωση, απόδοση και επιστροφή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ΣΥΝΑΛΛΑΓΕΣ ΜΕΤΑΞΥ ΙΔΙΩΤΩΝ, ΦΥΣΙΚΩΝ ΚΑΙ ΝΟΜΙΚΩΝ ΠΡΟΣΩΠΩΝ ΥΠΑΓΟΜΕΝΕΣ ΣΕ ΑΝΑΛΟΓΙΚΟ ΨΗΦΙΑΚΟ ΤΕΛΟΣ ΣΥΝΑΛΛΑΓΗΣ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Γενικές αρχές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Μίσθωση ακινήτων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Δάνεια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Τρεχούμενος δοσοληπτικός λογαριασμός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Καταθέσεις και αναλήψεις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Πώληση κινητού πράγματος ή άυλου αγαθού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Μεταβίβαση επιχείρησης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Διανομή κληρονομίας, κληροδοτήματος και εν γένει κοινής περιουσίας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Λοιπές συμβάσεις υπαγόμενες σε Ψηφιακό Τέλος Συναλλαγής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Συμβιβασμός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Αποζημιώσεις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Αμοιβές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Τόκοι υπερημερίας και νόμιμοι τόκοι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Τραπεζικές επιταγές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Συνδρομές καταβαλλόμενες σε επιμελητήρια, ενώσεις, συλλόγους και σωματεία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Έπαθλα και βραβεία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TMHMA ΙV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ΣΥΝΑΛΛΑΓΕΣ ΜΕ ΤΟ ΔΗΜΟΣΙΟ Ή ΤΟΥΣ ΦΟΡΕΙΣ ΓΕΝΙΚΗΣ ΚΥΒΕΡΝΗΣΗΣ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Μισθώσεις ακινήτων με αντισυμβαλλόμενο το Δημόσιο ή φορέα γενικής κυβέρνησης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Αποζημιώσεις καταβαλλόμενες από ή προς το Δημόσιο ή φορείς γενικής κυβέρνησης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Επιδοτήσεις, οικονομικές ενισχύσεις, επιχορηγήσεις από το Δημόσιο ή φορείς γενικής κυβέρνησης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Αμοιβή Δημοσίου ή φορέων γενικής κυβέρνησης για παροχή υπηρεσίας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Αμοιβές για συμμετοχή σε συμβούλια και επιτροπές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Είσπραξη προστίμων και παρεμφερών εσόδων του Δημοσίου και των φορέων γενικής κυβέρνησης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Συναλλαγές που διενεργούνται σε κτηματολογικά γραφεία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Έκδοση απογράφου και αποδεικτικά έγγραφα ενώπιον δικαστηρίων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V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ΠΑΓΙΟ ΨΗΦΙΑΚΟ ΤΕΛΟΣ ΣΥΝΑΛΛΑΓΗΣ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Περιπτώσεις επιβολής πάγιου Ψηφιακού Τέλους Συναλλαγής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VI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ΕΞΟΥΣΙΟΔΟΤΙΚΕΣ ΚΑΙ ΜΕΤΑΒΑΤΙΚΕΣ ΔΙΑΤΑΞΕΙΣ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Εξουσιοδοτικές διατάξεις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Μεταβατικές διατάξεις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ΔΕΥΤΕΡΟ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ΦΟΡΟΣ ΣΥΓΚΕΝΤΡΩΣΗΣ ΚΕΦΑΛΑΙΩΝ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Επιβολή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Φορολογούμενες πράξεις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στην οποία επιβάλλεται ο φόρος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Χρόνος γένεσης φορολογικής υποχρέωσης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Συντελεστής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Απαλλαγές και εξαιρέσεις από τον φόρο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Δήλωση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Επιστροφή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Προσωρινός προσδιορισμός της αξίας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Εξουσιοδοτική διάταξη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 επιβολή Ψηφιακού Τέλους Συναλλαγής και τελών χαρτοσήμου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ΤΡΙΤΟ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ΦΟΡΟΣ ΑΣΦΑΛΙΣΤΡΩΝ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Αντικείμενο, συντελεστής, υποκείμενο και απαλλαγές από τον φόρο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ΤΕΤΑΡΤΟ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ΤΕΛΟΣ ΑΝΘΕΚΤΙΚΟΤΗΤΑΣ ΣΤΗΝ ΚΛΙΜΑΤΙΚΗ ΚΡΙΣΗ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Τέλος ανθεκτικότητας στην κλιματική κρίση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ΠΕΜΠΤΟ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ΤΕΛΟΣ ΣΥΝΔΡΟΜΗΤΩΝ ΚΙΝΗΤΗΣ ΚΑΙ ΣΤΑΘΕΡΗΣ ΤΗΛΕΦΩΝΙΑΣ, ΤΕΛΟΣ ΣΥΝΔΡΟΜΗΤΙΚΗΣ ΤΗΛΕΟΡΑΣΗΣ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Τέλος συνδρομητών κινητής τηλεφωνίας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Τέλος συνδρομητών σταθερής τηλεφωνίας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Τέλος στη συνδρομητική τηλεόραση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ΕΚΤΟ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ΕΙΔΙΚΟΣ ΦΟΡΟΣ ΣΕ ΕΙΔΗ ΠΟΛΥΤΕΛΕΙΑΣ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Ειδικός φόρος σε είδη πολυτελείας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ΕΒΔΟΜΟ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ΨΥΧΑΓΩΓΙΚΑ ΤΕΧΝΙΚΑ ΠΑΙΓΝΙΑ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Ψυχαγωγικά τεχνικά παίγνια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ΟΓΔΟΟ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ΕΙΣΦΟΡΑ ΔΑΚΟΚΤΟΝΙΑΣ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Επιβολή εισφοράς δακοκτονίας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Υπόχρεα πρόσωπα, χρόνος και τρόπος απόδοσης και είσπραξης της εισφοράς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ΕΝΑΤΟ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ΤΕΛΟΣ ΠΛΟΙΩΝ ΑΝΑΨΥΧΗΣ ΚΑΙ ΗΜΕΡΟΠΛΟΙΩΝ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Τέλος πλοίων αναψυχής και ημερόπλοιων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ΒΙΒΛΙΟ ΔΕΚΑΤΟ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ΤΕΛΗ ΚΥΚΛΟΦΟΡΙΑΣ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Αντικείμενο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Τέλη κυκλοφορίας οχημάτων - Γενικές διατάξεις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Τέλη κυκλοφορίας οχημάτων ιδιωτικής χρήσης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Τέλη κυκλοφορίας οχημάτων δημόσιας χρήσης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Τέλη κυκλοφορίας ειδικών περιπτώσεων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Υπόχρεοι στην καταβολή τελών κυκλοφορίας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Απαλλαγές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Είσπραξη τελών κυκλοφορίας - Πρόστιμο μη καταβολής εντός των νόμιμων προθεσμιών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Έλεγχος από τις αστυνομικές αρχές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Δήλωση ακινησίας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Τελικές διατάξεις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δεύτερο: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«Έναρξη ισχύος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το δεύτερο άρθρο του κοινοποιούμενου νόμου ορίζεται ότι η ισχύς αυτού αρχίζει από τη δημοσίευσή του στην Εφημερίδα της Κυβερνήσεως, ήτοι από 14.02.2025.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ΠΑΡΑΡΤΗΜΑ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παράρτημα του κοινοποιούμενου νόμου περιέχει πίνακα κωδικοποιητικών και κωδικοποιούμενων διατάξεων.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Συνημμένο: ΦΕΚ Α΄ 21/2025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</w:t>
      </w:r>
      <w:r>
        <w:rPr>
          <w:b/>
          <w:bCs/>
          <w:lang w:val="el" w:eastAsia="el"/>
        </w:rPr>
        <w:t xml:space="preserve"> ΑΠΟΔΕΚΤΕΣ ΠΡΟΣ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Γ΄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Θ΄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Στρατηγικής Τεχνολογιών Πληροφορικής (με την παράκληση να αναρτηθεί στην ιστοσελίδα της Α.Α.Δ.Ε.)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Επικοινωνίας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Υπουργού Εθνικής Οικονομίας &amp;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Υφυπουργού Εθνικής Οικονομίας &amp;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Γενικού Γραμματέα Φορολογικής Πολιτικής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Κεντρική Υπηρεσία του Νομικού Συμβουλίου του Κράτους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Α΄(πλην των αποδεκτών προς ενέργεια)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Β΄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7.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Προϊσταμένου Γενικής Διεύθυνσης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Γραφεία κ.κ. Προϊσταμένων Γενικών Διευθύνσεων ΑΑΔΕ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Νομικής Υποστήριξης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Ελεγκτικών Διαδικασιών (Όλα τα Τμήματα)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Διαδικασιών Εισπράξεων και Επιστροφών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7.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Εφαρμογής Άμεσης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8.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Εφαρμογής Έμμεσης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9.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Εφαρμογής Φορολογίας Κεφαλαίου και Περιουσιολογίου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10.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Διεθνών Φορολογικών Σχέσεων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