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ΔΙΑΔΙΚΑΣΙΩΝ ΕΙΣΠΡΑΞΕΩΝ</w:t>
      </w:r>
    </w:p>
    <w:p>
      <w:pPr>
        <w:pStyle w:val="PreambelText"/>
        <w:spacing w:before="240" w:after="240"/>
        <w:rPr>
          <w:lang w:val="el" w:eastAsia="el"/>
        </w:rPr>
      </w:pPr>
      <w:r>
        <w:rPr>
          <w:b/>
          <w:bCs/>
          <w:lang w:val="el" w:eastAsia="el"/>
        </w:rPr>
        <w:t>ΚΑΙ ΕΠΙΣΤΡΟΦΩΝ</w:t>
      </w:r>
    </w:p>
    <w:p>
      <w:pPr>
        <w:pStyle w:val="PreambelText"/>
        <w:spacing w:before="240" w:after="240"/>
        <w:rPr>
          <w:lang w:val="el" w:eastAsia="el"/>
        </w:rPr>
      </w:pPr>
      <w:r>
        <w:rPr>
          <w:b/>
          <w:bCs/>
          <w:lang w:val="el" w:eastAsia="el"/>
        </w:rPr>
        <w:t>ΤΜΗΜΑΤΑ Α΄,Β΄, Γ΄</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w:t>
      </w:r>
    </w:p>
    <w:p>
      <w:pPr>
        <w:pStyle w:val="PreambelText"/>
        <w:spacing w:before="240" w:after="240"/>
        <w:rPr>
          <w:lang w:val="el" w:eastAsia="el"/>
        </w:rPr>
      </w:pPr>
      <w:r>
        <w:rPr>
          <w:b/>
          <w:bCs/>
          <w:lang w:val="el" w:eastAsia="el"/>
        </w:rPr>
        <w:t>: 2131410202</w:t>
      </w:r>
    </w:p>
    <w:p>
      <w:pPr>
        <w:pStyle w:val="PreambelText"/>
        <w:spacing w:before="240" w:after="240"/>
        <w:rPr>
          <w:lang w:val="el" w:eastAsia="el"/>
        </w:rPr>
      </w:pPr>
      <w:r>
        <w:rPr>
          <w:b/>
          <w:bCs/>
          <w:lang w:val="el" w:eastAsia="el"/>
        </w:rPr>
        <w:t>:</w:t>
      </w:r>
      <w:hyperlink r:id="rId4" w:history="1">
        <w:r>
          <w:rPr>
            <w:rStyle w:val="Hyperlink"/>
            <w:b/>
            <w:bCs/>
            <w:color w:val="0000EE"/>
            <w:u w:color="0000EE"/>
            <w:lang w:val="el" w:eastAsia="el"/>
          </w:rPr>
          <w:t xml:space="preserve">dideisep </w:t>
        </w:r>
        <w:r>
          <w:rPr>
            <w:rStyle w:val="Hyperlink"/>
            <w:b/>
            <w:bCs/>
            <w:color w:val="0000EE"/>
            <w:u w:color="0000EE"/>
            <w:lang w:val="el" w:eastAsia="el"/>
          </w:rPr>
          <w:t xml:space="preserve">@ </w:t>
        </w:r>
        <w:r>
          <w:rPr>
            <w:rStyle w:val="Hyperlink"/>
            <w:b/>
            <w:bCs/>
            <w:color w:val="0000EE"/>
            <w:u w:color="0000EE"/>
            <w:lang w:val="el" w:eastAsia="el"/>
          </w:rPr>
          <w:t>aade.gr</w:t>
        </w:r>
      </w:hyperlink>
    </w:p>
    <w:p>
      <w:pPr>
        <w:pStyle w:val="PreambelText"/>
        <w:spacing w:before="240" w:after="240"/>
        <w:rPr>
          <w:lang w:val="el" w:eastAsia="el"/>
        </w:rPr>
      </w:pPr>
      <w:r>
        <w:rPr>
          <w:b/>
          <w:bCs/>
          <w:lang w:val="el" w:eastAsia="el"/>
        </w:rPr>
        <w:t xml:space="preserve">2. </w:t>
      </w:r>
      <w:r>
        <w:rPr>
          <w:b/>
          <w:bCs/>
          <w:lang w:val="el" w:eastAsia="el"/>
        </w:rPr>
        <w:t>ΔΙΕΥΘΥΝΣΗ ΕΦΑΡΜΟΓΗΣ ΦΟΡΟΛΟΓΙΑΣ ΚΕΦΑΛΑΙΟΥ ΚΑΙ ΠΕΡΙΟΥΣΙΟΛΟΓΙΟΥ</w:t>
      </w:r>
    </w:p>
    <w:p>
      <w:pPr>
        <w:pStyle w:val="Heading1"/>
        <w:spacing w:before="240" w:after="240"/>
        <w:rPr>
          <w:lang w:val="el" w:eastAsia="el"/>
        </w:rPr>
      </w:pPr>
      <w:r>
        <w:rPr>
          <w:b/>
          <w:bCs/>
          <w:lang w:val="el" w:eastAsia="el"/>
        </w:rPr>
        <w:t>ΤΜΗΜΑ Β’</w:t>
      </w:r>
      <w:r>
        <w:rPr>
          <w:b/>
          <w:bCs/>
          <w:lang w:val="el" w:eastAsia="el"/>
        </w:rPr>
        <w:t xml:space="preserve"> </w:t>
      </w:r>
    </w:p>
    <w:p>
      <w:pPr>
        <w:pStyle w:val="Heading1"/>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Κώδικας : 177 78, Ταύρος</w:t>
      </w:r>
    </w:p>
    <w:p>
      <w:pPr>
        <w:spacing w:before="240" w:after="240"/>
        <w:rPr>
          <w:lang w:val="el" w:eastAsia="el"/>
        </w:rPr>
      </w:pPr>
      <w:r>
        <w:rPr>
          <w:b/>
          <w:bCs/>
          <w:lang w:val="el" w:eastAsia="el"/>
        </w:rPr>
        <w:t>Email :</w:t>
      </w:r>
      <w:hyperlink r:id="rId5" w:history="1">
        <w:r>
          <w:rPr>
            <w:rStyle w:val="Hyperlink"/>
            <w:b/>
            <w:bCs/>
            <w:color w:val="0000EE"/>
            <w:u w:color="0000EE"/>
            <w:lang w:val="el" w:eastAsia="el"/>
          </w:rPr>
          <w:t>defk@aade.gr</w:t>
        </w:r>
      </w:hyperlink>
    </w:p>
    <w:p>
      <w:pPr>
        <w:spacing w:before="240" w:after="240"/>
        <w:rPr>
          <w:lang w:val="el" w:eastAsia="el"/>
        </w:rPr>
      </w:pPr>
      <w:r>
        <w:rPr>
          <w:b/>
          <w:bCs/>
          <w:lang w:val="el" w:eastAsia="el"/>
        </w:rPr>
        <w:t>ΘΕΜΑ: Κοινοποίηση των διατάξεων των άρθρων 35, 39, 43, 44 και 47 του ν.</w:t>
      </w:r>
    </w:p>
    <w:p>
      <w:pPr>
        <w:spacing w:before="240" w:after="240"/>
        <w:rPr>
          <w:lang w:val="el" w:eastAsia="el"/>
        </w:rPr>
      </w:pPr>
      <w:r>
        <w:rPr>
          <w:b/>
          <w:bCs/>
          <w:lang w:val="el" w:eastAsia="el"/>
        </w:rPr>
        <w:t>5184/2025 (Α΄34) με τίτλο «Διεπαγγελματικές οργανώσεις, ενίσχυση του αγροτικού τομέα, οργάνωση των υπηρεσιών και εποπτευόμενων φορέων του Υπουργείου Αγροτικής Ανάπτυξης και Τροφίμων και επανεκκίνηση της αγροτικής οικονομίας και λοιπές διατάξεις»</w:t>
      </w:r>
    </w:p>
    <w:p>
      <w:pPr>
        <w:spacing w:before="240" w:after="240"/>
        <w:rPr>
          <w:lang w:val="el" w:eastAsia="el"/>
        </w:rPr>
      </w:pPr>
      <w:r>
        <w:rPr>
          <w:b/>
          <w:bCs/>
          <w:lang w:val="el" w:eastAsia="el"/>
        </w:rPr>
        <w:t>ΠΕΡΙΛΗΨΗΑ) ΑΝΤΙΚΕΙΜΕΝΟ</w:t>
      </w:r>
    </w:p>
    <w:p>
      <w:pPr>
        <w:spacing w:before="240" w:after="240"/>
        <w:rPr>
          <w:lang w:val="el" w:eastAsia="el"/>
        </w:rPr>
      </w:pPr>
      <w:r>
        <w:rPr>
          <w:b/>
          <w:bCs/>
          <w:lang w:val="el" w:eastAsia="el"/>
        </w:rPr>
        <w:t>Κοινοποίηση των άρθρων 35, 39, 43, 44 και 47 του ν. 5184/2025 (Α΄34)</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5184/2025:</w:t>
      </w:r>
    </w:p>
    <w:p>
      <w:pPr>
        <w:spacing w:before="240" w:after="240"/>
        <w:rPr>
          <w:lang w:val="el" w:eastAsia="el"/>
        </w:rPr>
      </w:pPr>
      <w:r>
        <w:rPr>
          <w:b/>
          <w:bCs/>
          <w:lang w:val="el" w:eastAsia="el"/>
        </w:rPr>
        <w:t xml:space="preserve">1. </w:t>
      </w:r>
      <w:r>
        <w:rPr>
          <w:b/>
          <w:bCs/>
          <w:lang w:val="el" w:eastAsia="el"/>
        </w:rPr>
        <w:t>του άρθρου 35 «Έκτακτη αποζημίωση προσωπικού κτηνιατρικών υπηρεσιών και άλλων δομών των Περιφερειών και του Υπουργείου Αγροτικής Ανάπτυξης και Τροφίμων»</w:t>
      </w:r>
    </w:p>
    <w:p>
      <w:pPr>
        <w:spacing w:before="240" w:after="240"/>
        <w:rPr>
          <w:lang w:val="el" w:eastAsia="el"/>
        </w:rPr>
      </w:pPr>
      <w:r>
        <w:rPr>
          <w:b/>
          <w:bCs/>
          <w:lang w:val="el" w:eastAsia="el"/>
        </w:rPr>
        <w:t xml:space="preserve">2. </w:t>
      </w:r>
      <w:r>
        <w:rPr>
          <w:b/>
          <w:bCs/>
          <w:lang w:val="el" w:eastAsia="el"/>
        </w:rPr>
        <w:t>του άρθρου 39 «Χρηματοδότηση της εξυγίανσης των Ναυπηγείων Ελευσίνας»</w:t>
      </w:r>
    </w:p>
    <w:p>
      <w:pPr>
        <w:spacing w:before="240" w:after="240"/>
        <w:rPr>
          <w:lang w:val="el" w:eastAsia="el"/>
        </w:rPr>
      </w:pPr>
      <w:r>
        <w:rPr>
          <w:b/>
          <w:bCs/>
          <w:lang w:val="el" w:eastAsia="el"/>
        </w:rPr>
        <w:t xml:space="preserve">3. </w:t>
      </w:r>
      <w:r>
        <w:rPr>
          <w:b/>
          <w:bCs/>
          <w:lang w:val="el" w:eastAsia="el"/>
        </w:rPr>
        <w:t>του άρθρου 43 «Ρύθμιση βεβαιωμένων οφειλών νια τις οποίες έχουν χορηγηθεί παράταση καταβολής και αναστολή είσπραξης για την αντιμετώπιση εκτάκτων αναγκών λόγω της κακοκαιρίας «Daniel»»</w:t>
      </w:r>
    </w:p>
    <w:p>
      <w:pPr>
        <w:spacing w:before="240" w:after="240"/>
        <w:rPr>
          <w:lang w:val="el" w:eastAsia="el"/>
        </w:rPr>
      </w:pPr>
      <w:r>
        <w:rPr>
          <w:b/>
          <w:bCs/>
          <w:lang w:val="el" w:eastAsia="el"/>
        </w:rPr>
        <w:t xml:space="preserve">4. </w:t>
      </w:r>
      <w:r>
        <w:rPr>
          <w:b/>
          <w:bCs/>
          <w:lang w:val="el" w:eastAsia="el"/>
        </w:rPr>
        <w:t>του άρθρου 44 «Παρατάσεις ρυθμίσεων»</w:t>
      </w:r>
    </w:p>
    <w:p>
      <w:pPr>
        <w:spacing w:before="240" w:after="240"/>
        <w:rPr>
          <w:lang w:val="el" w:eastAsia="el"/>
        </w:rPr>
      </w:pPr>
      <w:r>
        <w:rPr>
          <w:b/>
          <w:bCs/>
          <w:lang w:val="el" w:eastAsia="el"/>
        </w:rPr>
        <w:t xml:space="preserve">5. </w:t>
      </w:r>
      <w:r>
        <w:rPr>
          <w:b/>
          <w:bCs/>
          <w:lang w:val="el" w:eastAsia="el"/>
        </w:rPr>
        <w:t>του άρθρου 47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1. </w:t>
      </w:r>
      <w:r>
        <w:rPr>
          <w:b/>
          <w:bCs/>
          <w:lang w:val="el" w:eastAsia="el"/>
        </w:rPr>
        <w:t>Οι διατάξεις του άρθρου 35 αφορούν στην έκτακτη αποζημίωση του προσωπικού κτηνιατρικών υπηρεσιών και άλλων δομών των Περιφερειών και του Υπουργείου Αγροτικής Ανάπτυξης και Τροφίμων»</w:t>
      </w:r>
    </w:p>
    <w:p>
      <w:pPr>
        <w:spacing w:before="240" w:after="240"/>
        <w:rPr>
          <w:lang w:val="el" w:eastAsia="el"/>
        </w:rPr>
      </w:pPr>
      <w:r>
        <w:rPr>
          <w:b/>
          <w:bCs/>
          <w:lang w:val="el" w:eastAsia="el"/>
        </w:rPr>
        <w:t xml:space="preserve">2. </w:t>
      </w:r>
      <w:r>
        <w:rPr>
          <w:b/>
          <w:bCs/>
          <w:lang w:val="el" w:eastAsia="el"/>
        </w:rPr>
        <w:t>Οι διατάξεις του άρθρου 39 αφορούν στην κατάταξη απαιτήσεων πιστωτών από τη χρηματοδότηση της εταιρείας «U.S. International Development Finance Corporation» στις εταιρείες με τις επωνυμίες «ΟΝΕΧ ELEFSIS SΗΙΡΥΑRDS ΑΝD INDUSTRIES Μ.Α.Ε.» και «ΟΝΕΧ ELEFSIS ΝΑVAL ΑΝD ΜΑRΙΤΙΜΕ Α.Ε.», στις οποίες μεταβιβάζεται μέρος του ενεργητικού και του παθητικού της εταιρείας με την επωνυμία «Ναυπηγικές και Βιομηχανικές Επιχειρήσεις Ελευσίνας Α.Ε.» (Ν.Β.Ε.Ε. Α.Ε.)</w:t>
      </w:r>
    </w:p>
    <w:p>
      <w:pPr>
        <w:spacing w:before="240" w:after="240"/>
        <w:rPr>
          <w:lang w:val="el" w:eastAsia="el"/>
        </w:rPr>
      </w:pPr>
      <w:r>
        <w:rPr>
          <w:b/>
          <w:bCs/>
          <w:lang w:val="el" w:eastAsia="el"/>
        </w:rPr>
        <w:t xml:space="preserve">3. </w:t>
      </w:r>
      <w:r>
        <w:rPr>
          <w:b/>
          <w:bCs/>
          <w:lang w:val="el" w:eastAsia="el"/>
        </w:rPr>
        <w:t>Οι διατάξεις του άρθρου 43 αφορούν στη ρύθμιση βεβαιωμένων οφειλών νια τις οποίες έχουν χορηγηθεί παράταση καταβολής και αναστολή είσπραξης για την αντιμετώπιση εκτάκτων αναγκών λόγω της κακοκαιρίας «Daniel»</w:t>
      </w:r>
    </w:p>
    <w:p>
      <w:pPr>
        <w:spacing w:before="240" w:after="240"/>
        <w:rPr>
          <w:lang w:val="el" w:eastAsia="el"/>
        </w:rPr>
      </w:pPr>
      <w:r>
        <w:rPr>
          <w:b/>
          <w:bCs/>
          <w:lang w:val="el" w:eastAsia="el"/>
        </w:rPr>
        <w:t xml:space="preserve">4. </w:t>
      </w:r>
      <w:r>
        <w:rPr>
          <w:b/>
          <w:bCs/>
          <w:lang w:val="el" w:eastAsia="el"/>
        </w:rPr>
        <w:t>Οι διατάξεις της παρ. 3 του άρθρου 44 αφορούν στη χρηματοδότηση Αθλητικών Ανωνύμων Εταιρειών (Α.Α.Ε.), Τμημάτων Αμειβομένων Αθλητών (Τ.Α.Α.) και ερασιτεχνικών αθλητικών σωματείων</w:t>
      </w:r>
    </w:p>
    <w:p>
      <w:pPr>
        <w:spacing w:before="240" w:after="240"/>
        <w:rPr>
          <w:lang w:val="el" w:eastAsia="el"/>
        </w:rPr>
      </w:pPr>
      <w:r>
        <w:rPr>
          <w:b/>
          <w:bCs/>
          <w:lang w:val="el" w:eastAsia="el"/>
        </w:rPr>
        <w:t xml:space="preserve">5. </w:t>
      </w:r>
      <w:r>
        <w:rPr>
          <w:b/>
          <w:bCs/>
          <w:lang w:val="el" w:eastAsia="el"/>
        </w:rPr>
        <w:t>Το άρθρο 47 αφορά στην έναρξη ισχύος του κοινοποιούμενου νόμου.</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35, 39, 43, 44 και 47 ως εξής:</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«Έκτακτη αποζημίωση προσωπικού κτηνιατρικών υπηρεσιών και άλλων δομών των Περιφερειών και του Υπουργείου Αγροτικής Ανάπτυξης και Τροφίμων»</w:t>
      </w:r>
    </w:p>
    <w:p>
      <w:pPr>
        <w:spacing w:before="240" w:after="240"/>
        <w:rPr>
          <w:lang w:val="el" w:eastAsia="el"/>
        </w:rPr>
      </w:pPr>
      <w:r>
        <w:rPr>
          <w:b/>
          <w:bCs/>
          <w:lang w:val="el" w:eastAsia="el"/>
        </w:rPr>
        <w:t>Σύμφωνα με την παρ. 7 του άρθρου 35 του κοινοποιούμενου νόμου η έκτακτη αποζημίωση του εν λόγω άρθρου είναι ανεκχώρητη και ακατάσχετη, στα χέρια του Δημοσίου ή τρίτων, κατά παρέκκλιση κάθε άλλης αντίθετης διάταξης, δεν δεσμεύεται και δεν συμψηφίζεται με βεβαιωμένα χρέη προς τη Φορολογική Διοίκηση και το Δημόσιο εν γένει, τους Δήμους, τις Περιφέρειες, τους Οργανισμούς Κοινωνικής Ασφάλισης ή τα πιστωτικά ιδρύματα.</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«Χρηματοδότηση της εξυγίανσης των Ναυπηγείων Ελευσίνας»</w:t>
      </w:r>
    </w:p>
    <w:p>
      <w:pPr>
        <w:spacing w:before="240" w:after="240"/>
        <w:rPr>
          <w:lang w:val="el" w:eastAsia="el"/>
        </w:rPr>
      </w:pPr>
      <w:r>
        <w:rPr>
          <w:b/>
          <w:bCs/>
          <w:lang w:val="el" w:eastAsia="el"/>
        </w:rPr>
        <w:t>Σύμφωνα με το άρθρο 39 του κοινοποιούμενου νόμου το τρίτο εδάφιο και η υποπερ. αα) της περ. α) της παρ. 2 του άρθρου 167 του ν. 4738/2020 (Α’ 207), περί κατάταξης των πιστωτών, εφαρμόζονται και για τη χρηματοδότηση από την «U.S. International Development Finance Corporation» των εταιρειών με τις επωνυμίες «ΟΝΕΧ ELEFSIS SΗΙΡΥΑRDS ΑΝD INDUSTRIES Μ.Α.Ε.» και «ΟΝΕΧ ELEFSIS ΝΑVAL ΑΝD ΜΑRΙΤΙΜΕ Α.Ε.», στις οποίες μεταβιβάζεται μέρος του</w:t>
      </w:r>
    </w:p>
    <w:p>
      <w:pPr>
        <w:spacing w:before="240" w:after="240"/>
        <w:rPr>
          <w:lang w:val="el" w:eastAsia="el"/>
        </w:rPr>
      </w:pPr>
      <w:r>
        <w:rPr>
          <w:b/>
          <w:bCs/>
          <w:lang w:val="el" w:eastAsia="el"/>
        </w:rPr>
        <w:t>ενεργητικού και του παθητικού της εταιρείας με την επωνυμία «Ναυπηγικές και Βιομηχανικές Επιχειρήσεις Ελευσίνας Α.Ε.» (Ν.Β.Ε.Ε. Α.Ε.), για τη συνέχιση της επιχειρηματικής δραστηριότητας του τμήματος της επιχείρησης που μεταβιβάζεται και αναλαμβάνεται από τις εταιρείες αυτές.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«Ρύθμιση βεβαιωμένων οφειλών νια τις οποίες έχουν χορηγηθεί παράταση καταβολής και αναστολή είσπραξης για την αντιμετώπιση εκτάκτων αναγκών λόγω της κακοκαιρίας «Daniel»»</w:t>
      </w:r>
    </w:p>
    <w:p>
      <w:pPr>
        <w:spacing w:before="240" w:after="240"/>
        <w:rPr>
          <w:lang w:val="el" w:eastAsia="el"/>
        </w:rPr>
      </w:pPr>
      <w:r>
        <w:rPr>
          <w:b/>
          <w:bCs/>
          <w:lang w:val="el" w:eastAsia="el"/>
        </w:rPr>
        <w:t>Σύμφωνα με την παρ. 1 του άρθρου 43 του κοινοποιούμενου νόμου οφειλές φυσικών και νομικών προσώπων και οντοτήτων, βεβαιωμένες στην Ανεξάρτητη Αρχή Δημοσίων Εσόδων, ανεξαρτήτως του αν έχουν ενταχθεί σε ρύθμιση, για τις οποίες, στο πλαίσιο αντιμετώπισης των έκτακτων αναγκών που προέκυψαν από την εκδήλωση της κακοκαιρίας «Daniel», έχει χορηγηθεί αναστολή είσπραξης ή παράταση καταβολής που λήγει από τις 28 Φεβρουαρίου 2025 μέχρι τις 31 Μαρτίου 2025, σύμφωνα με την υπό στοιχεία Α. 1143/21.9.2023 απόφαση του Υφυπουργού Εθνικής Οικονομίας και Οικονομικών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πλημμύρες) που εκδηλώθηκαν τον Σεπτέμβριο του 2023» (Β’ 5599), τελούν σε αναστολή είσπραξης και καταβολής κατά το χρονικό διάστημα από την ημερομηνία λήξης της αναστολής είσπραξης ή της παράτασης καταβολής έως τις 31 Ιουλίου 2025.</w:t>
      </w:r>
    </w:p>
    <w:p>
      <w:pPr>
        <w:spacing w:before="240" w:after="240"/>
        <w:rPr>
          <w:lang w:val="el" w:eastAsia="el"/>
        </w:rPr>
      </w:pPr>
      <w:r>
        <w:rPr>
          <w:b/>
          <w:bCs/>
          <w:lang w:val="el" w:eastAsia="el"/>
        </w:rPr>
        <w:t>Σύμφωνα με την παρ. 2 του ίδιου ως άνω άρθρου πάσης φύσεως ασφαλιστικές εισφορές, τρέχουσες και καθυστερούμενες, φυσικών και νομικών προσώπων και οντοτήτων για τις οποίες, στο πλαίσιο αντιμετώπισης των έκτακτων αναγκών που προέκυψαν από την εκδήλωση της κακοκαιρίας «Daniel», έχει χορηγηθεί αναστολή καταβολής ή παράταση αναστολής καταβολής που λήγει από τις 28 Φεβρουαρίου 2025 μέχρι τις 31 Μαρτίου 2025, σύμφωνα με την υπό στοιχεία Δ.15/δ’/54593/23.12.2024 απόφαση του Υφυπουργού Εργασίας και Κοινωνικής Ασφάλισης «Τροποποίηση της υπό στοιχεία Δ.15/Δ’/80782/12.09.2023 υπουργικής απόφασης «Αναστολή καταβολής ασφαλιστικών εισφορών, δόσεις και παρατάσεις καταβολών για τους πληγέντες από πλημμύρες» (Β’ 5415»» (Β’ 7223), τελούν σε αναστολή καταβολής κατά το χρονικό διάστημα από την ημερομηνία λήξης της αναστολής καταβολής ή της παράτασης καταβολής έως τις 31 Ιουλίου 2025.</w:t>
      </w:r>
    </w:p>
    <w:p>
      <w:pPr>
        <w:spacing w:before="240" w:after="240"/>
        <w:rPr>
          <w:lang w:val="el" w:eastAsia="el"/>
        </w:rPr>
      </w:pPr>
      <w:r>
        <w:rPr>
          <w:b/>
          <w:bCs/>
          <w:lang w:val="el" w:eastAsia="el"/>
        </w:rPr>
        <w:t>Σύμφωνα με την παρ. 3 του ίδιου ως άνω άρθρου κατά το χρονικό διάστημα των παρ. 1 και 2 οι οφειλές δεν επιβαρύνονται με προσαυξήσεις ή τόκους εκπρόθεσμης καταβολής σύμφωνα με το άρθρο 6 του Κώδικα Είσπραξης Δημοσίων Εσόδων (ν. 4978/2022, Α’ 190) και το άρθρο 52 του Κώδικα Φορολογικής Διαδικασίας (ν. 5104/2024, Α΄ 58).</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«Παρατάσεις ρυθμίσεων»</w:t>
      </w:r>
    </w:p>
    <w:p>
      <w:pPr>
        <w:spacing w:before="240" w:after="240"/>
        <w:rPr>
          <w:lang w:val="el" w:eastAsia="el"/>
        </w:rPr>
      </w:pPr>
      <w:r>
        <w:rPr>
          <w:b/>
          <w:bCs/>
          <w:lang w:val="el" w:eastAsia="el"/>
        </w:rPr>
        <w:t>Σύμφωνα με την παρ. 3 του άρθρου 44 του κοινοποιούμενου νόμου η ισχύς της παρ. 2Α του άρθρου 60 του Κώδικα Διατάξεων Φορολογίας Κληρονομιών, Δωρεών, Γονικών Παροχών, Προικών και Κερδών από Τυχερά Παίγνια (ν. 2961/2001, Α’ 266) αρχίζει από την 1η Ιανουαρίου 2026. Η παρούσα ισχύει από τις 2 Φεβρουαρίου 2024.</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κοινοποιούμενου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Συνημμένο: Απόσπασμα του ΦΕΚ Α΄34/06.03.2025 (ν. 5184/2025)</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Θ΄</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Στρατηγικής Τεχνολογιών Πληροφορικής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&amp;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Γενικού Γραμματέα Φορολογικής Πολιτικής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Αποδέκτες Πίνακα Α΄(πλην των αποδεκτών προς ενέργεια)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Αποδέκτες Πίνακα Δ΄</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efk@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