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Αθήνα, 13 Μαρτίου 2025</w:t>
      </w:r>
    </w:p>
    <w:p>
      <w:pPr>
        <w:pStyle w:val="Title"/>
        <w:spacing w:before="120" w:after="360"/>
        <w:rPr>
          <w:lang w:val="el" w:eastAsia="el"/>
        </w:rPr>
      </w:pPr>
      <w:r>
        <w:rPr>
          <w:b/>
          <w:bCs/>
          <w:lang w:val="el" w:eastAsia="el"/>
        </w:rPr>
        <w:t>Ο.3012.</w:t>
      </w:r>
    </w:p>
    <w:p>
      <w:pPr>
        <w:pStyle w:val="Title"/>
        <w:spacing w:before="120" w:after="360"/>
        <w:rPr>
          <w:lang w:val="el" w:eastAsia="el"/>
        </w:rPr>
      </w:pPr>
      <w:r>
        <w:rPr>
          <w:b/>
          <w:bCs/>
          <w:lang w:val="el" w:eastAsia="el"/>
        </w:rPr>
        <w:t>ΔΙΕΥΘΥΝΣΗ ΔΙΑΔΙΚΑΣΙΩΝ ΕΙΣΠΡΑΞΕΩΝ ΚΑΙ</w:t>
      </w:r>
    </w:p>
    <w:p>
      <w:pPr>
        <w:pStyle w:val="Title"/>
        <w:spacing w:before="120" w:after="360"/>
        <w:rPr>
          <w:lang w:val="el" w:eastAsia="el"/>
        </w:rPr>
      </w:pPr>
      <w:r>
        <w:rPr>
          <w:b/>
          <w:bCs/>
          <w:lang w:val="el" w:eastAsia="el"/>
        </w:rPr>
        <w:t>ΕΠΙΣΤΡΟΦΩΝ (ΔΙ.Δ.ΕΙΣ.ΕΠ.)</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b/>
          <w:bCs/>
          <w:lang w:val="el" w:eastAsia="el"/>
        </w:rPr>
        <w:t>: Πειραιώς 180</w:t>
      </w:r>
    </w:p>
    <w:p>
      <w:pPr>
        <w:pStyle w:val="Title"/>
        <w:spacing w:before="120" w:after="360"/>
        <w:rPr>
          <w:lang w:val="el" w:eastAsia="el"/>
        </w:rPr>
      </w:pPr>
      <w:r>
        <w:rPr>
          <w:b/>
          <w:bCs/>
          <w:lang w:val="el" w:eastAsia="el"/>
        </w:rPr>
        <w:t>: 17778 Ταύρος</w:t>
      </w:r>
    </w:p>
    <w:p>
      <w:pPr>
        <w:pStyle w:val="Title"/>
        <w:spacing w:before="120" w:after="360"/>
        <w:rPr>
          <w:lang w:val="el" w:eastAsia="el"/>
        </w:rPr>
      </w:pPr>
      <w:r>
        <w:rPr>
          <w:b/>
          <w:bCs/>
          <w:lang w:val="el" w:eastAsia="el"/>
        </w:rPr>
        <w:t>: 2131410202</w:t>
      </w:r>
    </w:p>
    <w:p>
      <w:pPr>
        <w:pStyle w:val="Title"/>
        <w:spacing w:before="120" w:after="36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Title"/>
        <w:spacing w:before="120" w:after="360"/>
        <w:rPr>
          <w:lang w:val="el" w:eastAsia="el"/>
        </w:rPr>
      </w:pPr>
      <w:r>
        <w:rPr>
          <w:b/>
          <w:bCs/>
          <w:lang w:val="el" w:eastAsia="el"/>
        </w:rPr>
        <w:t>ΘΕΜΑ: Κοινοποίηση της υπ’ αριθ. 10250/13.02.2025 (Β΄978/05.03.2025) κοινής απόφασης των Υπουργών Εθνικής Οικονομίας και Οικονομικών, Εσωτερικών και του Διοικητή της Ανεξάρτητης Αρχής Δημοσίων Εσόδων για τη ρύθμιση αναγκαίων ζητημάτων σχετικά με την υπαγωγή στον εξωδικαστικό μηχανισμό του ν. 4738/2020 οφειλών προς δήμους και νομικά πρόσωπα δήμων, την είσπραξή τους από την Ανεξάρτητη Αρχή Δημοσίων Εσόδων και απόδοσή τους στον δικαιούχο δήμο ή νομικό πρόσωπο δήμου, κατ’ εφαρμογή του άρθρου 26 του ν. 5143/2024</w:t>
      </w:r>
    </w:p>
    <w:p>
      <w:pPr>
        <w:pStyle w:val="Title"/>
        <w:spacing w:before="120" w:after="360"/>
        <w:rPr>
          <w:lang w:val="el" w:eastAsia="el"/>
        </w:rPr>
      </w:pPr>
      <w:r>
        <w:rPr>
          <w:b/>
          <w:bCs/>
          <w:lang w:val="el" w:eastAsia="el"/>
        </w:rPr>
        <w:t>ΣΧΕΤ: Η οδηγία του Διοικητή Α.Α.Δ.Ε. Ο.3056/18-10-2024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υπ’ αριθ. 10250/13.02.2025 (Β΄978/05.03.2025) κοινής απόφασης των Υπουργών Εθνικής Οικονομίας και Οικονομικών, Εσωτερικών και του Διοικητή της Ανεξάρτητης Αρχής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της υπ’ αριθ. 10250/13.02.2025 (Β΄978/05.03.2025) κοινής απόφασης των Υπουργών Εθνικής Οικονομίας και Οικονομικών, Εσωτερικών και του Διοικητή της Ανεξάρτητης Αρχής Δημοσίων Εσόδων για τη ρύθμιση αναγκαίων ζητημάτων σχετικά με την υπαγωγή στον εξωδικαστικό μηχανισμό του ν. 4738/2020 οφειλών προς δήμους και νομικά πρόσωπα δήμων, την είσπραξή τους από την Ανεξάρτητη Αρχή Δημοσίων Εσόδων και απόδοσή τους στον δικαιούχο δήμο ή νομικό πρόσωπο δήμου, κατ’ εφαρμογή του άρθρου 26 του ν. 5143/2024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Φυσικά ή νομικά πρόσωπα που έχουν οφειλές προς τους δήμους και νομικά πρόσωπα αυτών</w:t>
      </w:r>
    </w:p>
    <w:p>
      <w:pPr>
        <w:spacing w:before="240" w:after="240"/>
        <w:rPr>
          <w:lang w:val="el" w:eastAsia="el"/>
        </w:rPr>
      </w:pPr>
      <w:r>
        <w:rPr>
          <w:b/>
          <w:bCs/>
          <w:lang w:val="el" w:eastAsia="el"/>
        </w:rPr>
        <w:t xml:space="preserve">Σας κοινοποιούμε συνημμένα, για ενημέρωσή σας, την υπ’ αριθ. 10250/13.02.2025 (Β΄978/05.03.2025) κοινή απόφαση των Υπουργών Εθνικής Οικονομίας και Οικονομικών, Εσωτερικών και του Διοικητή της Ανεξάρτητης Αρχής Δημοσίων Εσόδων με θέμα </w:t>
      </w:r>
      <w:r>
        <w:rPr>
          <w:b/>
          <w:bCs/>
          <w:i/>
          <w:iCs/>
          <w:lang w:val="el" w:eastAsia="el"/>
        </w:rPr>
        <w:t xml:space="preserve">«Ρύθμιση αναγκαίων ζητημάτων σχετικά με την υπαγωγή στον εξωδικαστικό μηχανισμό του ν. </w:t>
      </w:r>
      <w:r>
        <w:rPr>
          <w:b/>
          <w:bCs/>
          <w:i/>
          <w:iCs/>
          <w:lang w:val="el" w:eastAsia="el"/>
        </w:rPr>
        <w:t xml:space="preserve">4738/2020 </w:t>
      </w:r>
      <w:r>
        <w:rPr>
          <w:b/>
          <w:bCs/>
          <w:i/>
          <w:iCs/>
          <w:lang w:val="el" w:eastAsia="el"/>
        </w:rPr>
        <w:t xml:space="preserve">οφειλών προς δήμους και νομικά πρόσωπα δήμων, την είσπραξή τους από την Ανεξάρτητη Αρχή Δημοσίων Εσόδων και απόδοσή τους στον δικαιούχο δήμο ή νομικό πρόσωπο δήμου, κατ’ εφαρμογή του άρθρου </w:t>
      </w:r>
      <w:r>
        <w:rPr>
          <w:b/>
          <w:bCs/>
          <w:i/>
          <w:iCs/>
          <w:lang w:val="el" w:eastAsia="el"/>
        </w:rPr>
        <w:t xml:space="preserve">26 </w:t>
      </w:r>
      <w:r>
        <w:rPr>
          <w:b/>
          <w:bCs/>
          <w:i/>
          <w:iCs/>
          <w:lang w:val="el" w:eastAsia="el"/>
        </w:rPr>
        <w:t xml:space="preserve">του ν. </w:t>
      </w:r>
      <w:r>
        <w:rPr>
          <w:b/>
          <w:bCs/>
          <w:i/>
          <w:iCs/>
          <w:lang w:val="el" w:eastAsia="el"/>
        </w:rPr>
        <w:t>5143/2024»,</w:t>
      </w:r>
      <w:r>
        <w:rPr>
          <w:b/>
          <w:bCs/>
          <w:lang w:val="el" w:eastAsia="el"/>
        </w:rPr>
        <w:t xml:space="preserve"> η οποία εκδόθηκε κατ’ εξουσιοδότηση της παρ. 1 του άρθρου 42 του ν. 5143/2024 [σχετική η Ο.3056/18-10-2024, με την οποία κοινοποιήθηκαν μεταξύ άλλων τα άρθρα 26 και 42 (παρ. 1-3) του ν. 5143/2024].</w:t>
      </w:r>
    </w:p>
    <w:p>
      <w:pPr>
        <w:spacing w:before="240" w:after="240"/>
        <w:rPr>
          <w:lang w:val="el" w:eastAsia="el"/>
        </w:rPr>
      </w:pPr>
      <w:r>
        <w:rPr>
          <w:b/>
          <w:bCs/>
          <w:lang w:val="el" w:eastAsia="el"/>
        </w:rPr>
        <w:t>Υπενθυμίζεται ότι με τις διατάξεις του άρθρου 26 του ν. 5143/2024 (Α΄161) και την κοινοποιούμενη, κατ’ εξουσιοδότηση της παρ. 1 του άρθρου 42 του ν. 5143/2024, εκδοθείσα Κ.Υ.Α., παρέχεται η δυνατότητα εξωδικαστικής ρύθμισης κατά τις διατάξεις των άρθρων 5-30 του ν. 4738/2020 (Α΄207) οφειλών προς τους δήμους και τα νομικά τους πρόσωπα μετά την καταχώρισή τους στα βιβλία εισπρακτέων εσόδων της ΑΑΔΕ, σύμφωνα με το άρθρο 1 της Κ.Υ.Α., εφόσον το ύψος τους προς έκαστο δήμο ή νομικό πρόσωπο δήμου, συμπεριλαμβανομένων και των προσαυξήσεων, δεν υπολείπεται του ποσού των 10.000 ευρώ. Συνημμένο: ΦΕΚ Β΄978/05.03.2025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Επιχειρησιακή Μονάδα Είσπραξης</w:t>
      </w:r>
    </w:p>
    <w:p>
      <w:pPr>
        <w:spacing w:before="240" w:after="240"/>
        <w:rPr>
          <w:lang w:val="el" w:eastAsia="el"/>
        </w:rPr>
      </w:pPr>
      <w:r>
        <w:rPr>
          <w:lang w:val="el" w:eastAsia="el"/>
        </w:rPr>
        <w:t xml:space="preserve">2. </w:t>
      </w:r>
      <w:r>
        <w:rPr>
          <w:b/>
          <w:bCs/>
          <w:lang w:val="el" w:eastAsia="el"/>
        </w:rPr>
        <w:t>Δημόσιες Οικονομικές Υπηρεσίες (Δ.Ο.Υ.)</w:t>
      </w:r>
    </w:p>
    <w:p>
      <w:pPr>
        <w:spacing w:before="240" w:after="240"/>
        <w:rPr>
          <w:lang w:val="el" w:eastAsia="el"/>
        </w:rPr>
      </w:pPr>
      <w:r>
        <w:rPr>
          <w:lang w:val="el" w:eastAsia="el"/>
        </w:rPr>
        <w:t xml:space="preserve">3. </w:t>
      </w:r>
      <w:r>
        <w:rPr>
          <w:b/>
          <w:bCs/>
          <w:lang w:val="el" w:eastAsia="el"/>
        </w:rPr>
        <w:t>Κέντρα Βεβαίωσης και Είσπραξης (ΚΕ.Β.ΕΙΣ.)</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6. </w:t>
      </w:r>
      <w:r>
        <w:rPr>
          <w:b/>
          <w:bCs/>
          <w:lang w:val="el" w:eastAsia="el"/>
        </w:rPr>
        <w:t>Διεύθυνση Επικοινωνίας</w:t>
      </w:r>
    </w:p>
    <w:p>
      <w:pPr>
        <w:spacing w:before="240" w:after="240"/>
        <w:rPr>
          <w:lang w:val="el" w:eastAsia="el"/>
        </w:rPr>
      </w:pPr>
      <w:r>
        <w:rPr>
          <w:lang w:val="el" w:eastAsia="el"/>
        </w:rPr>
        <w:t xml:space="preserve">7.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Γ΄(πλην των αποδεκτών προς ενέργεια) και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6. </w:t>
      </w:r>
      <w:r>
        <w:rPr>
          <w:b/>
          <w:bCs/>
          <w:lang w:val="el" w:eastAsia="el"/>
        </w:rPr>
        <w:t>Γενική Γραμματεία Χρηματοπιστωτικού Τομέα και Διαχείρισης Ιδιωτικού Χρέους</w:t>
      </w:r>
    </w:p>
    <w:p>
      <w:pPr>
        <w:spacing w:before="240" w:after="240"/>
        <w:rPr>
          <w:lang w:val="el" w:eastAsia="el"/>
        </w:rPr>
      </w:pPr>
      <w:r>
        <w:rPr>
          <w:b/>
          <w:bCs/>
          <w:lang w:val="el" w:eastAsia="el"/>
        </w:rPr>
        <w:t>III.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