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b/>
          <w:bCs/>
          <w:lang w:val="el" w:eastAsia="el"/>
        </w:rPr>
        <w:t>ΔΙΕΥΘΥΝΣΗ ΔΙΑΔΙΚΑΣΙΩΝ ΕΙΣΠΡΑΞΕΩΝ ΚΑΙ</w:t>
      </w:r>
    </w:p>
    <w:p>
      <w:pPr>
        <w:pStyle w:val="PreambelText"/>
        <w:spacing w:before="240" w:after="240"/>
        <w:rPr>
          <w:lang w:val="el" w:eastAsia="el"/>
        </w:rPr>
      </w:pPr>
      <w:r>
        <w:rPr>
          <w:b/>
          <w:bCs/>
          <w:lang w:val="el" w:eastAsia="el"/>
        </w:rPr>
        <w:t>ΕΠΙΣΤΡΟΦΩΝ (ΔΙ.Δ.ΕΙΣ.ΕΠ.)</w:t>
      </w:r>
    </w:p>
    <w:p>
      <w:pPr>
        <w:pStyle w:val="PreambelText"/>
        <w:spacing w:before="240" w:after="240"/>
        <w:rPr>
          <w:lang w:val="el" w:eastAsia="el"/>
        </w:rPr>
      </w:pPr>
      <w:r>
        <w:rPr>
          <w:b/>
          <w:bCs/>
          <w:lang w:val="el" w:eastAsia="el"/>
        </w:rPr>
        <w:t>ΤΜΗΜΑΤΑ Α΄, Β΄</w:t>
      </w:r>
    </w:p>
    <w:p>
      <w:pPr>
        <w:pStyle w:val="PreambelText"/>
        <w:spacing w:before="240" w:after="240"/>
        <w:rPr>
          <w:lang w:val="el" w:eastAsia="el"/>
        </w:rPr>
      </w:pPr>
      <w:r>
        <w:rPr>
          <w:b/>
          <w:bCs/>
          <w:lang w:val="el" w:eastAsia="el"/>
        </w:rPr>
        <w:t>: Πειραιώς 180</w:t>
      </w:r>
    </w:p>
    <w:p>
      <w:pPr>
        <w:pStyle w:val="PreambelText"/>
        <w:spacing w:before="240" w:after="240"/>
        <w:rPr>
          <w:lang w:val="el" w:eastAsia="el"/>
        </w:rPr>
      </w:pPr>
      <w:r>
        <w:rPr>
          <w:b/>
          <w:bCs/>
          <w:lang w:val="el" w:eastAsia="el"/>
        </w:rPr>
        <w:t>: 17778, Ταύρος</w:t>
      </w:r>
    </w:p>
    <w:p>
      <w:pPr>
        <w:pStyle w:val="PreambelText"/>
        <w:spacing w:before="240" w:after="240"/>
        <w:rPr>
          <w:lang w:val="el" w:eastAsia="el"/>
        </w:rPr>
      </w:pPr>
      <w:r>
        <w:rPr>
          <w:b/>
          <w:bCs/>
          <w:lang w:val="el" w:eastAsia="el"/>
        </w:rPr>
        <w:t>: 2131410202</w:t>
      </w:r>
    </w:p>
    <w:p>
      <w:pPr>
        <w:pStyle w:val="PreambelText"/>
        <w:spacing w:before="240" w:after="240"/>
        <w:rPr>
          <w:lang w:val="el" w:eastAsia="el"/>
        </w:rPr>
      </w:pPr>
      <w:r>
        <w:rPr>
          <w:b/>
          <w:bCs/>
          <w:lang w:val="el" w:eastAsia="el"/>
        </w:rPr>
        <w:t xml:space="preserve">: </w:t>
      </w:r>
      <w:hyperlink r:id="rId4" w:history="1">
        <w:r>
          <w:rPr>
            <w:rStyle w:val="Hyperlink"/>
            <w:b/>
            <w:bCs/>
            <w:color w:val="0000EE"/>
            <w:u w:color="0000EE"/>
            <w:lang w:val="el" w:eastAsia="el"/>
          </w:rPr>
          <w:t>dideisep@aade.gr</w:t>
        </w:r>
      </w:hyperlink>
    </w:p>
    <w:p>
      <w:pPr>
        <w:pStyle w:val="PreambelText"/>
        <w:spacing w:before="240" w:after="240"/>
        <w:rPr>
          <w:lang w:val="el" w:eastAsia="el"/>
        </w:rPr>
      </w:pPr>
      <w:r>
        <w:rPr>
          <w:b/>
          <w:bCs/>
          <w:lang w:val="el" w:eastAsia="el"/>
        </w:rPr>
        <w:t>ΘΕΜΑ: Κοινοποίηση των διατάξεων των άρθρων 61, 67, 69, 70 και 72 του ν. 5197/2025 «Παρεμβάσεις στο νομοθετικό πλαίσιο της Εθνικής Σχολής Δικαστικών Λειτουργών, στον Κώδικα Οργανισμού Δικαστηρίων και Κατάστασης Δικαστικών Λειτουργών και στον Κώδικα Συμβολαιογράφων και λοιπές διατάξεις.» (Α΄76/16.5.2025)</w:t>
      </w:r>
    </w:p>
    <w:p>
      <w:pPr>
        <w:pStyle w:val="enacting"/>
        <w:spacing w:before="120" w:after="0"/>
        <w:rPr>
          <w:lang w:val="el" w:eastAsia="el"/>
        </w:rPr>
      </w:pPr>
      <w:r>
        <w:rPr>
          <w:b/>
          <w:bCs/>
          <w:lang w:val="el" w:eastAsia="el"/>
        </w:rPr>
        <w:t>ΠΕΡΙΛΗΨΗΑ) ΑΝΤΙΚΕΙΜΕΝΟ</w:t>
      </w:r>
    </w:p>
    <w:p>
      <w:pPr>
        <w:pStyle w:val="PreambelText"/>
        <w:spacing w:before="240" w:after="240"/>
        <w:rPr>
          <w:lang w:val="el" w:eastAsia="el"/>
        </w:rPr>
      </w:pPr>
      <w:r>
        <w:rPr>
          <w:b/>
          <w:bCs/>
          <w:lang w:val="el" w:eastAsia="el"/>
        </w:rPr>
        <w:t>Κοινοποίηση των διατάξεων των άρθρων 61, 67, 69, 70 και 72 του ν. 5197/2025</w:t>
      </w:r>
    </w:p>
    <w:p>
      <w:pPr>
        <w:pStyle w:val="enacting"/>
        <w:spacing w:before="120" w:after="0"/>
        <w:rPr>
          <w:lang w:val="el" w:eastAsia="el"/>
        </w:rPr>
      </w:pPr>
      <w:r>
        <w:rPr>
          <w:b/>
          <w:bCs/>
          <w:lang w:val="el" w:eastAsia="el"/>
        </w:rPr>
        <w:t>Β) ΠΕΡΙΕΧΟΜΕΝΟ</w:t>
      </w:r>
    </w:p>
    <w:p>
      <w:pPr>
        <w:pStyle w:val="PreambelText"/>
        <w:spacing w:before="240" w:after="240"/>
        <w:rPr>
          <w:lang w:val="el" w:eastAsia="el"/>
        </w:rPr>
      </w:pPr>
      <w:r>
        <w:rPr>
          <w:b/>
          <w:bCs/>
          <w:lang w:val="el" w:eastAsia="el"/>
        </w:rPr>
        <w:t>Κοινοποίηση των διατάξεων των κάτωθι άρθρων του ν. 5197/2025:</w:t>
      </w:r>
    </w:p>
    <w:p>
      <w:pPr>
        <w:pStyle w:val="PreambelText"/>
        <w:spacing w:before="240" w:after="240"/>
        <w:rPr>
          <w:lang w:val="el" w:eastAsia="el"/>
        </w:rPr>
      </w:pPr>
      <w:r>
        <w:rPr>
          <w:lang w:val="el" w:eastAsia="el"/>
        </w:rPr>
        <w:t xml:space="preserve">1. </w:t>
      </w:r>
      <w:r>
        <w:rPr>
          <w:b/>
          <w:bCs/>
          <w:lang w:val="el" w:eastAsia="el"/>
        </w:rPr>
        <w:t>του άρθρου 61 «Αποζημίωση δικηγόρων για έκδοση πράξεων-Τροποποίηση άρθρου 27 ν. 5095/2024»</w:t>
      </w:r>
    </w:p>
    <w:p>
      <w:pPr>
        <w:pStyle w:val="PreambelText"/>
        <w:spacing w:before="240" w:after="240"/>
        <w:rPr>
          <w:lang w:val="el" w:eastAsia="el"/>
        </w:rPr>
      </w:pPr>
      <w:r>
        <w:rPr>
          <w:lang w:val="el" w:eastAsia="el"/>
        </w:rPr>
        <w:t xml:space="preserve">2. </w:t>
      </w:r>
      <w:r>
        <w:rPr>
          <w:b/>
          <w:bCs/>
          <w:lang w:val="el" w:eastAsia="el"/>
        </w:rPr>
        <w:t>του άρθρου 67 «Αναθεωρήσεις οικοδομικών αδειών που έχουν εκδοθεί με χρήση κινήτρων».</w:t>
      </w:r>
    </w:p>
    <w:p>
      <w:pPr>
        <w:pStyle w:val="PreambelText"/>
        <w:spacing w:before="240" w:after="240"/>
        <w:rPr>
          <w:lang w:val="el" w:eastAsia="el"/>
        </w:rPr>
      </w:pPr>
      <w:r>
        <w:rPr>
          <w:lang w:val="el" w:eastAsia="el"/>
        </w:rPr>
        <w:t xml:space="preserve">3. </w:t>
      </w:r>
      <w:r>
        <w:rPr>
          <w:b/>
          <w:bCs/>
          <w:lang w:val="el" w:eastAsia="el"/>
        </w:rPr>
        <w:t>της περ. α) της παρ. 3 του άρθρου 69 «Εξουσιοδοτικές διατάξεις»</w:t>
      </w:r>
    </w:p>
    <w:p>
      <w:pPr>
        <w:pStyle w:val="PreambelText"/>
        <w:spacing w:before="240" w:after="240"/>
        <w:rPr>
          <w:lang w:val="el" w:eastAsia="el"/>
        </w:rPr>
      </w:pPr>
      <w:r>
        <w:rPr>
          <w:lang w:val="el" w:eastAsia="el"/>
        </w:rPr>
        <w:t xml:space="preserve">4. </w:t>
      </w:r>
      <w:r>
        <w:rPr>
          <w:b/>
          <w:bCs/>
          <w:lang w:val="el" w:eastAsia="el"/>
        </w:rPr>
        <w:t>του άρθρου 70 «Μεταβατικές διατάξεις»</w:t>
      </w:r>
    </w:p>
    <w:p>
      <w:pPr>
        <w:pStyle w:val="PreambelText"/>
        <w:spacing w:before="240" w:after="240"/>
        <w:rPr>
          <w:lang w:val="el" w:eastAsia="el"/>
        </w:rPr>
      </w:pPr>
      <w:r>
        <w:rPr>
          <w:lang w:val="el" w:eastAsia="el"/>
        </w:rPr>
        <w:t xml:space="preserve">5. </w:t>
      </w:r>
      <w:r>
        <w:rPr>
          <w:b/>
          <w:bCs/>
          <w:lang w:val="el" w:eastAsia="el"/>
        </w:rPr>
        <w:t>του άρθρου 72 «Έναρξη ισχύος»</w:t>
      </w:r>
    </w:p>
    <w:p>
      <w:pPr>
        <w:pStyle w:val="enacting"/>
        <w:spacing w:before="120" w:after="0"/>
        <w:rPr>
          <w:lang w:val="el" w:eastAsia="el"/>
        </w:rPr>
      </w:pPr>
      <w:r>
        <w:rPr>
          <w:b/>
          <w:bCs/>
          <w:lang w:val="el" w:eastAsia="el"/>
        </w:rPr>
        <w:t>Γ) ΠΕΔΙΟ ΕΦΑΡΜΟΓΗΣ</w:t>
      </w:r>
    </w:p>
    <w:p>
      <w:pPr>
        <w:pStyle w:val="PreambelText"/>
        <w:spacing w:before="240" w:after="240"/>
        <w:rPr>
          <w:lang w:val="el" w:eastAsia="el"/>
        </w:rPr>
      </w:pPr>
      <w:r>
        <w:rPr>
          <w:lang w:val="el" w:eastAsia="el"/>
        </w:rPr>
        <w:t xml:space="preserve">1. </w:t>
      </w:r>
      <w:r>
        <w:rPr>
          <w:b/>
          <w:bCs/>
          <w:lang w:val="el" w:eastAsia="el"/>
        </w:rPr>
        <w:t>Το άρθρο 61 αφορά στις αποζημιώσεις των δικηγόρων για την έκδοση πράξεων</w:t>
      </w:r>
    </w:p>
    <w:p>
      <w:pPr>
        <w:pStyle w:val="PreambelText"/>
        <w:spacing w:before="240" w:after="240"/>
        <w:rPr>
          <w:lang w:val="el" w:eastAsia="el"/>
        </w:rPr>
      </w:pPr>
      <w:r>
        <w:rPr>
          <w:lang w:val="el" w:eastAsia="el"/>
        </w:rPr>
        <w:t xml:space="preserve">2. </w:t>
      </w:r>
      <w:r>
        <w:rPr>
          <w:b/>
          <w:bCs/>
          <w:lang w:val="el" w:eastAsia="el"/>
        </w:rPr>
        <w:t>Το άρθρο 67 αφορά στις αναθεωρήσεις οικοδομικών αδειών που έχουν εκδοθεί με χρήση κινήτρων</w:t>
      </w:r>
    </w:p>
    <w:p>
      <w:pPr>
        <w:pStyle w:val="PreambelText"/>
        <w:spacing w:before="240" w:after="240"/>
        <w:rPr>
          <w:lang w:val="el" w:eastAsia="el"/>
        </w:rPr>
      </w:pPr>
      <w:r>
        <w:rPr>
          <w:lang w:val="el" w:eastAsia="el"/>
        </w:rPr>
        <w:t xml:space="preserve">3. </w:t>
      </w:r>
      <w:r>
        <w:rPr>
          <w:b/>
          <w:bCs/>
          <w:lang w:val="el" w:eastAsia="el"/>
        </w:rPr>
        <w:t>Η περ. α) παρ. 3 άρθρου 69 αφορά στην παροχή εξουσιοδότησης για έκδοση κοινής απόφασης των Υπουργών Περιβάλλοντος και Ενέργειας και Εθνικής Οικονομίας και Οικονομικών κατόπιν εισήγησης του Διοικητή της Ανεξάρτητης Αρχής Δημοσίων Εσόδων</w:t>
      </w:r>
    </w:p>
    <w:p>
      <w:pPr>
        <w:pStyle w:val="PreambelText"/>
        <w:spacing w:before="240" w:after="240"/>
        <w:rPr>
          <w:lang w:val="el" w:eastAsia="el"/>
        </w:rPr>
      </w:pPr>
      <w:r>
        <w:rPr>
          <w:lang w:val="el" w:eastAsia="el"/>
        </w:rPr>
        <w:t xml:space="preserve">4. </w:t>
      </w:r>
      <w:r>
        <w:rPr>
          <w:b/>
          <w:bCs/>
          <w:lang w:val="el" w:eastAsia="el"/>
        </w:rPr>
        <w:t>Το άρθρο 70 αφορά στην ισχύ μεταβατικών διατάξεων</w:t>
      </w:r>
    </w:p>
    <w:p>
      <w:pPr>
        <w:pStyle w:val="PreambelText"/>
        <w:spacing w:before="240" w:after="240"/>
        <w:rPr>
          <w:lang w:val="el" w:eastAsia="el"/>
        </w:rPr>
      </w:pPr>
      <w:r>
        <w:rPr>
          <w:lang w:val="el" w:eastAsia="el"/>
        </w:rPr>
        <w:t xml:space="preserve">5. </w:t>
      </w:r>
      <w:r>
        <w:rPr>
          <w:b/>
          <w:bCs/>
          <w:u w:val="single"/>
          <w:lang w:val="el" w:eastAsia="el"/>
        </w:rPr>
        <w:t xml:space="preserve">Το άρθρο </w:t>
      </w:r>
      <w:r>
        <w:rPr>
          <w:b/>
          <w:bCs/>
          <w:u w:val="single"/>
          <w:lang w:val="el" w:eastAsia="el"/>
        </w:rPr>
        <w:t xml:space="preserve">72 </w:t>
      </w:r>
      <w:r>
        <w:rPr>
          <w:b/>
          <w:bCs/>
          <w:u w:val="single"/>
          <w:lang w:val="el" w:eastAsia="el"/>
        </w:rPr>
        <w:t>αφορά στην έναρξη ισχύος του κοινοποιούμενου νόμου</w:t>
      </w:r>
    </w:p>
    <w:p>
      <w:pPr>
        <w:pStyle w:val="PreambelText"/>
        <w:spacing w:before="240" w:after="240"/>
        <w:rPr>
          <w:lang w:val="el" w:eastAsia="el"/>
        </w:rPr>
      </w:pPr>
      <w:r>
        <w:rPr>
          <w:b/>
          <w:bCs/>
          <w:lang w:val="el" w:eastAsia="el"/>
        </w:rPr>
        <w:t>Σας κοινοποιούμε συνημμένα, για ενημέρωση και εφαρμογή, τις διατάξεις των άρθρων 61, 67, 69 περ. α) παρ. 3, 70 και 72 του ν. 5197/2025, ως ακολούθως:</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«Αποζημίωση δικηγόρων για έκδοση πράξεων -Τροποποίηση άρθρου 27 ν. 5095/2024»</w:t>
      </w:r>
    </w:p>
    <w:p>
      <w:pPr>
        <w:spacing w:before="240" w:after="240"/>
        <w:rPr>
          <w:lang w:val="el" w:eastAsia="el"/>
        </w:rPr>
      </w:pPr>
      <w:r>
        <w:rPr>
          <w:b/>
          <w:bCs/>
          <w:lang w:val="el" w:eastAsia="el"/>
        </w:rPr>
        <w:t>Με την παρ. 1 του άρθρου 61 του κοινοποιούμενου νόμου προστίθενται στην περ. β) της παρ. 1 του άρθρου 27 του ν. 5095/2024 (Α’ 40), περί εξουσιοδοτικών διατάξεων, οι λέξεις «εφαρμοζομένης αναλόγως της παρ. 3 του άρθρου 108 του π.δ. 26/2012 (Α’ 57) σχετικά με την αποζημίωση» και το άρθρο 27 διαμορφώνεται ως εξής:</w:t>
      </w:r>
    </w:p>
    <w:p>
      <w:pPr>
        <w:spacing w:before="240" w:after="240"/>
        <w:rPr>
          <w:lang w:val="el" w:eastAsia="el"/>
        </w:rPr>
      </w:pPr>
      <w:r>
        <w:rPr>
          <w:b/>
          <w:bCs/>
          <w:lang w:val="el" w:eastAsia="el"/>
        </w:rPr>
        <w:t>«Άρθρο 27</w:t>
      </w:r>
    </w:p>
    <w:p>
      <w:pPr>
        <w:spacing w:before="240" w:after="240"/>
        <w:rPr>
          <w:lang w:val="el" w:eastAsia="el"/>
        </w:rPr>
      </w:pPr>
      <w:r>
        <w:rPr>
          <w:b/>
          <w:bCs/>
          <w:lang w:val="el" w:eastAsia="el"/>
        </w:rPr>
        <w:t>Εξουσιοδοτικές διατάξεις</w:t>
      </w:r>
    </w:p>
    <w:p>
      <w:pPr>
        <w:spacing w:before="240" w:after="240"/>
        <w:rPr>
          <w:lang w:val="el" w:eastAsia="el"/>
        </w:rPr>
      </w:pPr>
      <w:r>
        <w:rPr>
          <w:lang w:val="el" w:eastAsia="el"/>
        </w:rPr>
        <w:t xml:space="preserve">1. </w:t>
      </w:r>
      <w:r>
        <w:rPr>
          <w:b/>
          <w:bCs/>
          <w:lang w:val="el" w:eastAsia="el"/>
        </w:rPr>
        <w:t>Με απόφαση του Υπουργού Δικαιοσύνης καθορίζονται:</w:t>
      </w:r>
    </w:p>
    <w:p>
      <w:pPr>
        <w:spacing w:before="240" w:after="240"/>
        <w:rPr>
          <w:lang w:val="el" w:eastAsia="el"/>
        </w:rPr>
      </w:pPr>
      <w:r>
        <w:rPr>
          <w:b/>
          <w:bCs/>
          <w:lang w:val="el" w:eastAsia="el"/>
        </w:rPr>
        <w:t>α) οι προϋποθέσεις εγγραφής των δικηγόρων στους ειδικούς καταλόγους: αα) του εβδόμου εδαφίου της παρ. 1 του άρθρου 208, και αβ) της παρ. 2 του άρθρου 819 του Κώδικα Πολιτικής Δικονομίας,</w:t>
      </w:r>
    </w:p>
    <w:p>
      <w:pPr>
        <w:spacing w:before="240" w:after="240"/>
        <w:rPr>
          <w:lang w:val="el" w:eastAsia="el"/>
        </w:rPr>
      </w:pPr>
      <w:r>
        <w:rPr>
          <w:b/>
          <w:bCs/>
          <w:lang w:val="el" w:eastAsia="el"/>
        </w:rPr>
        <w:t>β) το ύψος της αποζημίωσης των δικηγόρων στις ως άνω περιπτώσεις, ο τρόπος, ο χρόνος και οι λοιποί όροι καταβολής της, εφαρμοζομένης αναλόγως της παρ. 3 του άρθρου 108 του π.δ. 26/2012 (Α’ 57) σχετικά με την αποζημίωση,</w:t>
      </w:r>
    </w:p>
    <w:p>
      <w:pPr>
        <w:spacing w:before="240" w:after="240"/>
        <w:rPr>
          <w:lang w:val="el" w:eastAsia="el"/>
        </w:rPr>
      </w:pPr>
      <w:r>
        <w:rPr>
          <w:b/>
          <w:bCs/>
          <w:lang w:val="el" w:eastAsia="el"/>
        </w:rPr>
        <w:t>γ) οι αναγκαίες εγγυήσεις για την αδιάβλητη επιλογή των δικηγόρων, την επιμόρφωσή τους και κάθε άλλη λεπτομέρεια για την εφαρμογή των διατάξεων των υποπερ. αα) και αβ).</w:t>
      </w:r>
    </w:p>
    <w:p>
      <w:pPr>
        <w:spacing w:before="240" w:after="240"/>
        <w:rPr>
          <w:lang w:val="el" w:eastAsia="el"/>
        </w:rPr>
      </w:pPr>
      <w:r>
        <w:rPr>
          <w:lang w:val="el" w:eastAsia="el"/>
        </w:rPr>
        <w:t xml:space="preserve">2. </w:t>
      </w:r>
      <w:r>
        <w:rPr>
          <w:b/>
          <w:bCs/>
          <w:lang w:val="el" w:eastAsia="el"/>
        </w:rPr>
        <w:t>Με απόφαση του Υπουργού Δικαιοσύνης μπορεί να οριστεί ενιαίος τύπος πιστοποιητικού κληρονομητηρίου του άρθρου 819 του Κώδικα Πολιτικής Δικονομίας.»</w:t>
      </w:r>
    </w:p>
    <w:p>
      <w:pPr>
        <w:spacing w:before="240" w:after="240"/>
        <w:rPr>
          <w:lang w:val="el" w:eastAsia="el"/>
        </w:rPr>
      </w:pPr>
      <w:r>
        <w:rPr>
          <w:b/>
          <w:bCs/>
          <w:lang w:val="el" w:eastAsia="el"/>
        </w:rPr>
        <w:t>Στην παρ. 2 του άρθρου 61 του κοινοποιούμενου νόμου ορίζεται ότι η ισχύς της παρ. 1 αρχίζει από την 1η.6.2024.</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«Αναθεωρήσεις οικοδομικών αδειών που έχουν εκδοθεί με χρήση κινήτρων»</w:t>
      </w:r>
    </w:p>
    <w:p>
      <w:pPr>
        <w:spacing w:before="240" w:after="240"/>
        <w:rPr>
          <w:lang w:val="el" w:eastAsia="el"/>
        </w:rPr>
      </w:pPr>
      <w:r>
        <w:rPr>
          <w:b/>
          <w:bCs/>
          <w:lang w:val="el" w:eastAsia="el"/>
        </w:rPr>
        <w:t>Στην παρ. 1 του άρθρου 67 του κοινοποιούμενου νόμου ορίζεται ότι οι οικοδομικές άδειες που έχουν εκδοθεί με χρήση των κινήτρων και προσαυξήσεων των άρθρων 66 και 71, έως και την 11η Δεκεμβρίου 2024 και δεν έχουν εκκινήσει οι οικοδομικές εργασίες έως την ημερομηνία αυτή, υλοποιούνται μόνο αν προηγηθεί αναθεώρησή τους για την αφαίρεση των κινήτρων αυτών, με την επιφύλαξη του άρθρου 68 και της παρ. 2 του άρθρου 70. Η αναθεώρηση του πρώτου εδαφίου διενεργείται από τις αρμόδιες Υπηρεσίες Δόμησης αμελλητί και κατά προτεραιότητα έναντι των λοιπών αιτήσεων, χωρίς την καταβολή οποιουδήποτε φόρου, παραβόλου, εισφοράς και κράτησης υπέρ του Δημοσίου ή του Δήμου. Φόροι, παράβολα, εισφορές ή κρατήσεις που καταβλήθηκαν υπέρ του Δημοσίου ή του Δήμου για την έκδοση της αναθεωρούμενης άδειας, κατά το μέρος που αντιστοιχούν στη διαφορά της δόμησης λόγω της αφαίρεσης των κινήτρων και προσαυξήσεων των άρθρων 66 και 71 επιστρέφονται.</w:t>
      </w:r>
    </w:p>
    <w:p>
      <w:pPr>
        <w:spacing w:before="240" w:after="240"/>
        <w:rPr>
          <w:lang w:val="el" w:eastAsia="el"/>
        </w:rPr>
      </w:pPr>
      <w:r>
        <w:rPr>
          <w:b/>
          <w:bCs/>
          <w:lang w:val="el" w:eastAsia="el"/>
        </w:rPr>
        <w:t>Στην παρ. 2 του άρθρου 67 του κοινοποιούμενου νόμου ορίζεται ότι σε περίπτωση αναθεώρησης των οικοδομικών αδειών που έχουν εκδοθεί με χρήση των κινήτρων και προσαυξήσεων των άρθρων 66 και 71, αν, έως και την 11η Δεκεμβρίου 2024, έχουν εκκινήσει οι οικοδομικές εργασίες: α) δεν θίγεται η προ της αναθεώρησης χρήση κινήτρων και προσαυξήσεων, β) δεν επιτρέπεται η επέκταση της χρήσης των κινήτρων διά της αναθεώρησης, εκτός αν η επέκταση δύναται να προσμετρηθεί στα πολεοδομικά μεγέθη, σύμφωνα με τις ισχύουσες, κατά τον χρόνο αναθεώρησης, διατάξεις, και γ) εφαρμόζονται το δεύτερο και τρίτο εδάφιο της παρ. 1, περί μη καταβολής και επιστροφής φόρων, παραβόλων, εισφορών και κρατήσεων.</w:t>
      </w:r>
    </w:p>
    <w:p>
      <w:pPr>
        <w:spacing w:before="240" w:after="240"/>
        <w:rPr>
          <w:lang w:val="el" w:eastAsia="el"/>
        </w:rPr>
      </w:pPr>
      <w:r>
        <w:rPr>
          <w:b/>
          <w:bCs/>
          <w:lang w:val="el" w:eastAsia="el"/>
        </w:rPr>
        <w:t>Σύμφωνα με την παρ. 3 του άρθρου 67 του κοινοποιούμενου νόμου η τήρηση της προϋπόθεσης εκκίνησης των οικοδομικών εργασιών έως και την 11η Δεκεμβρίου 2024 ελέγχεται: α) από την οικεία Υπηρεσία Δόμησης σε περίπτωση αναθεώρησης οικοδομικής αδείας ή αυτεπαγγέλτως ή</w:t>
      </w:r>
    </w:p>
    <w:p>
      <w:pPr>
        <w:pStyle w:val="StructureList1"/>
        <w:spacing w:before="120" w:after="0"/>
        <w:rPr>
          <w:lang w:val="el" w:eastAsia="el"/>
        </w:rPr>
      </w:pPr>
      <w:r>
        <w:rPr>
          <w:lang w:val="el" w:eastAsia="el"/>
        </w:rPr>
        <w:t>β)</w:t>
      </w:r>
      <w:r>
        <w:rPr>
          <w:lang w:val="en" w:eastAsia="en"/>
        </w:rPr>
        <w:tab/>
      </w:r>
      <w:r>
        <w:rPr>
          <w:b/>
          <w:bCs/>
          <w:lang w:val="el" w:eastAsia="el"/>
        </w:rPr>
        <w:t>κατόπιν παρατήρησης Ελεγκτή Δόμησης κατά τη διαδικασία ελέγχου του άρθρου 44 του ν. 4495/2017 (Α’ 167).</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«Εξουσιοδοτικές διατάξεις»</w:t>
      </w:r>
    </w:p>
    <w:p>
      <w:pPr>
        <w:spacing w:before="240" w:after="240"/>
        <w:rPr>
          <w:lang w:val="el" w:eastAsia="el"/>
        </w:rPr>
      </w:pPr>
      <w:r>
        <w:rPr>
          <w:b/>
          <w:bCs/>
          <w:lang w:val="el" w:eastAsia="el"/>
        </w:rPr>
        <w:t>Στην περ. α) της παρ. 3 του άρθρου 69 του κοινοποιούμενου νόμου ορίζεται ότι με κοινή απόφαση των Υπουργών Περιβάλλοντος και Ενέργειας και Εθνικής Οικονομίας και Οικονομικών, κατόπιν εισήγησης του Διοικητή της Ανεξάρτητης Αρχής Δημοσίων Εσόδων, καθορίζονται ο τρόπος και η διαδικασία επιστροφής των φόρων, παραβόλων, εισφορών ή κρατήσεων και το χρονικό διάστημα έκδοσης των αναθεωρήσεων της παρ. 1 του άρθρου 67.</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«Μεταβατικές διατάξεις»</w:t>
      </w:r>
    </w:p>
    <w:p>
      <w:pPr>
        <w:spacing w:before="240" w:after="240"/>
        <w:rPr>
          <w:lang w:val="el" w:eastAsia="el"/>
        </w:rPr>
      </w:pPr>
      <w:r>
        <w:rPr>
          <w:b/>
          <w:bCs/>
          <w:lang w:val="el" w:eastAsia="el"/>
        </w:rPr>
        <w:t>Στην παρ. 1 του άρθρου 70 του κοινοποιούμενου νόμου ορίζεται ότι μέχρι την έκδοση του προεδρικού διατάγματος της παρ. 1 του άρθρου 69, αναστέλλεται η επιβολή των κυρώσεων του άρθρου 125Θ του ν. 4495/2017 (Α’ 167) επί των κτισμάτων των οποίων οι οικοδομικές άδειες έχουν ακυρωθεί ή ακυρώνονται κατά το μέρος που αφορούν σε χρήση των κινήτρων και προσαυξήσεων των άρθρων 66 και 71 και δεν εφαρμόζεται επ’ αυτών το άρθρο 82 του ν. 4495/2017, περί απαγόρευσης δικαιοπραξιών.</w:t>
      </w:r>
    </w:p>
    <w:p>
      <w:pPr>
        <w:spacing w:before="240" w:after="240"/>
        <w:rPr>
          <w:lang w:val="el" w:eastAsia="el"/>
        </w:rPr>
      </w:pPr>
      <w:r>
        <w:rPr>
          <w:b/>
          <w:bCs/>
          <w:lang w:val="el" w:eastAsia="el"/>
        </w:rPr>
        <w:t>Στην παρ. 2 του άρθρου 70 του κοινοποιούμενου νόμου ορίζεται ότι τα άρθρα 66 έως 71 δεν εφαρμόζονται για ακίνητα για τα οποία εκδόθηκαν μέχρι την έναρξη ισχύος του παρόντος υπουργικές αποφάσεις, με τις οποίες θεσπίζονται ειδικές και εντοπισμένες ρυθμίσεις, που ανάγονται στην προστασία και ανάδειξη διατηρητέων κτιρίων και μνημείων, υπό την προϋπόθεση ότι μέχρι την 11η Δεκεμβρίου 2024 είχαν εκδοθεί οι σχετικές γνωμοδοτήσεις του Κεντρικού Συμβουλίου Αρχιτεκτονικής. Στις περιπτώσεις αυτές, η έκδοση και η υλοποίηση οικοδομικών αδειών διενεργούνται σύμφωνα με τα διαλαμβανόμενα στις υπουργικές αποφάσεις του πρώτου εδαφίου.</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Με το άρθρο 72 του κοινοποιούμενου νόμου ορίζεται ότι η έναρξη ισχύος αυτού αρχίζει από τη δημοσίευσή του στην Εφημερίδα της Κυβερνήσεως, εκτός αν ορίζεται διαφορετικά στις επιμέρους διατάξεις του.</w:t>
      </w:r>
    </w:p>
    <w:p>
      <w:pPr>
        <w:spacing w:before="240" w:after="240"/>
        <w:rPr>
          <w:lang w:val="el" w:eastAsia="el"/>
        </w:rPr>
      </w:pPr>
      <w:r>
        <w:rPr>
          <w:b/>
          <w:bCs/>
          <w:lang w:val="el" w:eastAsia="el"/>
        </w:rPr>
        <w:t>Συνημμένα: Απόσπασμα του ΦΕΚ Α΄76/16.5.2025: άρθρα 61, 67, 69, 70 και 72 του ν. 5197/2025</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 ΔΗΜΟΣΙΩΝΕΣΟΔΩΝ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2.</w:t>
      </w:r>
      <w:r>
        <w:rPr>
          <w:lang w:val="el" w:eastAsia="el"/>
        </w:rPr>
        <w:t xml:space="preserve"> </w:t>
      </w:r>
      <w:r>
        <w:rPr>
          <w:b/>
          <w:bCs/>
          <w:lang w:val="el" w:eastAsia="el"/>
        </w:rPr>
        <w:t>Διεύθυνση Στρατηγικής Τεχνολογιών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4.</w:t>
      </w:r>
      <w:r>
        <w:rPr>
          <w:lang w:val="el" w:eastAsia="el"/>
        </w:rPr>
        <w:t xml:space="preserve"> </w:t>
      </w:r>
      <w:r>
        <w:rPr>
          <w:b/>
          <w:bCs/>
          <w:lang w:val="el" w:eastAsia="el"/>
        </w:rPr>
        <w:t>Ηλεκτρονική Βιβλιοθήκη</w:t>
      </w:r>
    </w:p>
    <w:p>
      <w:pPr>
        <w:spacing w:before="240" w:after="240"/>
        <w:rPr>
          <w:lang w:val="el" w:eastAsia="el"/>
        </w:rPr>
      </w:pPr>
      <w:r>
        <w:rPr>
          <w:b/>
          <w:bCs/>
          <w:lang w:val="el" w:eastAsia="el"/>
        </w:rPr>
        <w:t>ΙΙ. ΑΠΟΔΕΚΤΕΣ ΠΡΟΣ 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Α΄ (πλην των αποδεκτών προς ενέργεια)</w:t>
      </w:r>
    </w:p>
    <w:p>
      <w:pPr>
        <w:pStyle w:val="MainText"/>
        <w:spacing w:before="120" w:after="0"/>
        <w:rPr>
          <w:lang w:val="el" w:eastAsia="el"/>
        </w:rPr>
      </w:pPr>
      <w:r>
        <w:rPr>
          <w:b/>
          <w:bCs/>
          <w:lang w:val="el" w:eastAsia="el"/>
        </w:rPr>
        <w:t>2.</w:t>
      </w:r>
      <w:r>
        <w:rPr>
          <w:lang w:val="el" w:eastAsia="el"/>
        </w:rPr>
        <w:t xml:space="preserve"> </w:t>
      </w:r>
      <w:r>
        <w:rPr>
          <w:b/>
          <w:bCs/>
          <w:lang w:val="el" w:eastAsia="el"/>
        </w:rPr>
        <w:t>Αποδέκτες Πίνακα Δ΄</w:t>
      </w:r>
    </w:p>
    <w:p>
      <w:pPr>
        <w:pStyle w:val="MainText"/>
        <w:spacing w:before="120" w:after="0"/>
        <w:rPr>
          <w:lang w:val="el" w:eastAsia="el"/>
        </w:rPr>
      </w:pPr>
      <w:r>
        <w:rPr>
          <w:b/>
          <w:bCs/>
          <w:lang w:val="el" w:eastAsia="el"/>
        </w:rPr>
        <w:t>3.</w:t>
      </w:r>
      <w:r>
        <w:rPr>
          <w:lang w:val="el" w:eastAsia="el"/>
        </w:rPr>
        <w:t xml:space="preserve"> </w:t>
      </w:r>
      <w:r>
        <w:rPr>
          <w:b/>
          <w:bCs/>
          <w:lang w:val="el" w:eastAsia="el"/>
        </w:rPr>
        <w:t>Κεντρική Υπηρεσία του Νομικού Συμβουλίου του Κράτους</w:t>
      </w:r>
    </w:p>
    <w:p>
      <w:pPr>
        <w:pStyle w:val="MainText"/>
        <w:spacing w:before="120" w:after="0"/>
        <w:rPr>
          <w:lang w:val="el" w:eastAsia="el"/>
        </w:rPr>
      </w:pPr>
      <w:r>
        <w:rPr>
          <w:b/>
          <w:bCs/>
          <w:lang w:val="el" w:eastAsia="el"/>
        </w:rPr>
        <w:t>4.</w:t>
      </w:r>
      <w:r>
        <w:rPr>
          <w:lang w:val="el" w:eastAsia="el"/>
        </w:rPr>
        <w:t xml:space="preserve"> </w:t>
      </w:r>
      <w:r>
        <w:rPr>
          <w:b/>
          <w:bCs/>
          <w:lang w:val="el" w:eastAsia="el"/>
        </w:rPr>
        <w:t>Γραφείο Υφυπουργού Εθνικής Οικονομίας και Οικονομικών</w:t>
      </w:r>
    </w:p>
    <w:p>
      <w:pPr>
        <w:pStyle w:val="MainText"/>
        <w:spacing w:before="120" w:after="0"/>
        <w:rPr>
          <w:lang w:val="el" w:eastAsia="el"/>
        </w:rPr>
      </w:pPr>
      <w:r>
        <w:rPr>
          <w:b/>
          <w:bCs/>
          <w:lang w:val="el" w:eastAsia="el"/>
        </w:rPr>
        <w:t>5.</w:t>
      </w:r>
      <w:r>
        <w:rPr>
          <w:lang w:val="el" w:eastAsia="el"/>
        </w:rPr>
        <w:t xml:space="preserve"> </w:t>
      </w:r>
      <w:r>
        <w:rPr>
          <w:b/>
          <w:bCs/>
          <w:lang w:val="el" w:eastAsia="el"/>
        </w:rPr>
        <w:t>Γραφείο Γενικού Γραμματέα Φορολογικής Πολιτικής</w:t>
      </w:r>
    </w:p>
    <w:p>
      <w:pPr>
        <w:spacing w:before="240" w:after="240"/>
        <w:rPr>
          <w:lang w:val="el" w:eastAsia="el"/>
        </w:rPr>
      </w:pPr>
      <w:r>
        <w:rPr>
          <w:b/>
          <w:bCs/>
          <w:lang w:val="el" w:eastAsia="el"/>
        </w:rPr>
        <w:t>III. ΕΣΩΤΕΡΙΚΗ ΔΙΑΝΟΜΗ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Προϊσταμένου Γενικής Διεύθυνσης Φορολογίας</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4.</w:t>
      </w:r>
      <w:r>
        <w:rPr>
          <w:lang w:val="el" w:eastAsia="el"/>
        </w:rPr>
        <w:t xml:space="preserve"> </w:t>
      </w:r>
      <w:r>
        <w:rPr>
          <w:b/>
          <w:bCs/>
          <w:lang w:val="el" w:eastAsia="el"/>
        </w:rPr>
        <w:t>Διεύθυνση Διαδικασιών Εισπράξεων και Επιστροφών – Τμήματα Α,Β,Γ,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