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p>
    <w:p>
      <w:pPr>
        <w:pStyle w:val="PreambelText"/>
        <w:spacing w:before="240" w:after="240"/>
        <w:rPr>
          <w:lang w:val="el" w:eastAsia="el"/>
        </w:rPr>
      </w:pPr>
      <w:r>
        <w:rPr>
          <w:b/>
          <w:bCs/>
          <w:lang w:val="el" w:eastAsia="el"/>
        </w:rPr>
        <w:t>Αθήνα 24/06/2025</w:t>
      </w:r>
    </w:p>
    <w:p>
      <w:pPr>
        <w:pStyle w:val="PreambelText"/>
        <w:spacing w:before="240" w:after="240"/>
        <w:rPr>
          <w:lang w:val="el" w:eastAsia="el"/>
        </w:rPr>
      </w:pPr>
      <w:r>
        <w:rPr>
          <w:b/>
          <w:bCs/>
          <w:lang w:val="el" w:eastAsia="el"/>
        </w:rPr>
        <w:t>Α. Π.: Ο3026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w:t>
      </w:r>
    </w:p>
    <w:p>
      <w:pPr>
        <w:pStyle w:val="PreambelText"/>
        <w:spacing w:before="240" w:after="240"/>
        <w:rPr>
          <w:lang w:val="el" w:eastAsia="el"/>
        </w:rPr>
      </w:pPr>
      <w:r>
        <w:rPr>
          <w:lang w:val="el" w:eastAsia="el"/>
        </w:rPr>
        <w:t xml:space="preserve">2.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ΔΙΕΥΘΥΝΣΗ ΕΦΑΡΜΟΓΗΣ ΦΟΡΟΛΟΓΙΑΣ ΚΕΦΑΛΑΙΟΥ &amp; ΠΕΡΙΟΥΣΙΟΛΟΓΙΟΥ ΤΜΗΜΑ Β’</w:t>
      </w:r>
    </w:p>
    <w:p>
      <w:pPr>
        <w:pStyle w:val="PreambelText"/>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defk@aade.gr</w:t>
        </w:r>
      </w:hyperlink>
    </w:p>
    <w:p>
      <w:pPr>
        <w:pStyle w:val="PreambelText"/>
        <w:spacing w:before="240" w:after="240"/>
        <w:rPr>
          <w:lang w:val="el" w:eastAsia="el"/>
        </w:rPr>
      </w:pPr>
      <w:r>
        <w:rPr>
          <w:lang w:val="el" w:eastAsia="el"/>
        </w:rPr>
        <w:t xml:space="preserve">4. </w:t>
      </w:r>
      <w:r>
        <w:rPr>
          <w:b/>
          <w:bCs/>
          <w:lang w:val="el" w:eastAsia="el"/>
        </w:rPr>
        <w:t>ΔΙΕΥΘΥΝΣΗ ΔΙΑΔΙΚΑΣΙΩΝ ΕΙΣΠΡΑΞΕΩΝ ΚΑΙ ΕΠΙΣΤΡΟΦΩΝ (ΔΙ.Δ.ΕΙΣ.ΕΠ.)</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ΘΕΜΑ: Κοινοποίηση των διατάξεων των άρθρων πρώτου και δεύτερου του ν. 5208/2025 «Κύρωση της Συμφωνίας Έδρας μεταξύ της Κυβέρνησης της Ελληνικής Δημοκρατίας και της Ύπατης Αρμοστείας του Οργανισμού Ηνωμένων Εθνών για τους Πρόσφυγες» (ΦΕΚ Α΄95/10.06.2025) και των άρθρων 9 παρ. 3-7, 10, 12 παρ. 2, 13 παρ. 2 και 19 παρ. 1 της Συμφωνίας Έδρας που κυρώνεται με το άρθρο πρώτο του παραπάνω νόμου.</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πρώτου και δεύτερου του ν. 5208/2025 (ΦΕΚ Α΄ 95) και των άρθρων 9 παρ. 3-7, 10, 12 παρ. 2, 13 παρ. 2 και 19 παρ. 1 της Συμφωνίας Έδρας που κυρώθηκε με το άρθρο πρώτο του παραπάνω νόμου.</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του άρθρου πρώτου «Κύρωση Συμφωνίας» και του άρθρου δεύτερου «Έναρξη ισχύος» του ν. 5208/2025, καθώς και των κάτωθι άρθρων της Συμφωνίας:</w:t>
      </w:r>
    </w:p>
    <w:p>
      <w:pPr>
        <w:pStyle w:val="PreambelText"/>
        <w:spacing w:before="240" w:after="240"/>
        <w:rPr>
          <w:lang w:val="el" w:eastAsia="el"/>
        </w:rPr>
      </w:pPr>
      <w:r>
        <w:rPr>
          <w:lang w:val="el" w:eastAsia="el"/>
        </w:rPr>
        <w:t xml:space="preserve">1. </w:t>
      </w:r>
      <w:r>
        <w:rPr>
          <w:b/>
          <w:bCs/>
          <w:lang w:val="el" w:eastAsia="el"/>
        </w:rPr>
        <w:t>των παρ. 3-7 του άρθρου 9 «Γραφείο, περιουσία, κεφάλαια και ενεργητικό της Ύπατης Αρμοστείας»</w:t>
      </w:r>
    </w:p>
    <w:p>
      <w:pPr>
        <w:pStyle w:val="PreambelText"/>
        <w:spacing w:before="240" w:after="240"/>
        <w:rPr>
          <w:lang w:val="el" w:eastAsia="el"/>
        </w:rPr>
      </w:pPr>
      <w:r>
        <w:rPr>
          <w:lang w:val="el" w:eastAsia="el"/>
        </w:rPr>
        <w:t xml:space="preserve">2. </w:t>
      </w:r>
      <w:r>
        <w:rPr>
          <w:b/>
          <w:bCs/>
          <w:lang w:val="el" w:eastAsia="el"/>
        </w:rPr>
        <w:t>του άρθρου 10 «Οχήματα του γραφείου της Ύπατης Αρμοστείας»</w:t>
      </w:r>
    </w:p>
    <w:p>
      <w:pPr>
        <w:pStyle w:val="PreambelText"/>
        <w:spacing w:before="240" w:after="240"/>
        <w:rPr>
          <w:lang w:val="el" w:eastAsia="el"/>
        </w:rPr>
      </w:pPr>
      <w:r>
        <w:rPr>
          <w:lang w:val="el" w:eastAsia="el"/>
        </w:rPr>
        <w:t xml:space="preserve">3. </w:t>
      </w:r>
      <w:r>
        <w:rPr>
          <w:b/>
          <w:bCs/>
          <w:lang w:val="el" w:eastAsia="el"/>
        </w:rPr>
        <w:t>της παρ. 2 του άρθρου 12 «Υπάλληλοι της Ύπατης Αρμοστείας»</w:t>
      </w:r>
    </w:p>
    <w:p>
      <w:pPr>
        <w:pStyle w:val="PreambelText"/>
        <w:spacing w:before="240" w:after="240"/>
        <w:rPr>
          <w:lang w:val="el" w:eastAsia="el"/>
        </w:rPr>
      </w:pPr>
      <w:r>
        <w:rPr>
          <w:lang w:val="el" w:eastAsia="el"/>
        </w:rPr>
        <w:t xml:space="preserve">4. </w:t>
      </w:r>
      <w:r>
        <w:rPr>
          <w:b/>
          <w:bCs/>
          <w:lang w:val="el" w:eastAsia="el"/>
        </w:rPr>
        <w:t>της παρ. 2 του άρθρου 13 «Εμπειρογνώμονες που εκτελούν αποστολές»</w:t>
      </w:r>
    </w:p>
    <w:p>
      <w:pPr>
        <w:pStyle w:val="PreambelText"/>
        <w:spacing w:before="240" w:after="240"/>
        <w:rPr>
          <w:lang w:val="el" w:eastAsia="el"/>
        </w:rPr>
      </w:pPr>
      <w:r>
        <w:rPr>
          <w:lang w:val="el" w:eastAsia="el"/>
        </w:rPr>
        <w:t xml:space="preserve">5. </w:t>
      </w:r>
      <w:r>
        <w:rPr>
          <w:b/>
          <w:bCs/>
          <w:lang w:val="el" w:eastAsia="el"/>
        </w:rPr>
        <w:t>της παρ. 1 του άρθρου 19 «Τελικές διατάξεις»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Η παρούσα Συμφωνία Έδρας εφαρμόζεται από το Γραφείο της Ύπατης Αρμοστείας και το προσωπικό του καθώς και από τις αρμόδιες ελληνικές δημόσιες αρχές.</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πρώτου και δεύτερου του ν. 5208/2025 (ΦΕΚ Α΄ 95) και των άρθρων 9 παρ. 3-7, 10, 12 παρ. 2, 13 παρ. 2 και 19 παρ. 1 της Συμφωνίας Έδρας που κυρώθηκε με το άρθρο πρώτο του παραπάνω νόμου, ως εξής:</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Συμφωνίας»</w:t>
      </w:r>
    </w:p>
    <w:p>
      <w:pPr>
        <w:spacing w:before="240" w:after="240"/>
        <w:rPr>
          <w:lang w:val="el" w:eastAsia="el"/>
        </w:rPr>
      </w:pPr>
      <w:r>
        <w:rPr>
          <w:b/>
          <w:bCs/>
          <w:lang w:val="el" w:eastAsia="el"/>
        </w:rPr>
        <w:t>Με τις διατάξεις του άρθρου πρώτου του ν. 5208/2025 κυρώνεται και έχει την ισχύ, που ορίζει η παρ. 1 του άρθρου 28 του Συντάγματος, η Συμφωνία Έδρας μεταξύ της Κυβέρνησης της Ελληνικής Δημοκρατίας και της Ύπατης Αρμοστείας του Οργανισμού Ηνωμένων Εθνών για τους Πρόσφυγες, που υπογράφηκε στην Αθήνα, τη 19η Φεβρουαρίου 2024.</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της Συμφωνίας «Γραφείο, περιουσία, κεφάλαια και ενεργητικό της Ύπατης Αρμοστεία» (παρ. 3-7)</w:t>
      </w:r>
    </w:p>
    <w:p>
      <w:pPr>
        <w:spacing w:before="240" w:after="240"/>
        <w:rPr>
          <w:lang w:val="el" w:eastAsia="el"/>
        </w:rPr>
      </w:pPr>
      <w:r>
        <w:rPr>
          <w:b/>
          <w:bCs/>
          <w:lang w:val="el" w:eastAsia="el"/>
        </w:rPr>
        <w:t>Με την παρ. 3 του άρθρου 9 της Συμφωνίας ορίζεται ότι η περιουσία, τα κεφάλαια και το ενεργητικό της Ύπατης Αρμοστείας, οπουδήποτε και αν βρίσκονται και από οποιονδήποτε και αν κατέχονται, δεν υπόκεινται σε έρευνα, επίταξη, δήμευση, απαλλοτρίωση και οποιαδήποτε άλλη μορφή παρέμβασης, με εκτελεστική, διοικητική, δικαστική ή νομοθετική ενέργεια.</w:t>
      </w:r>
    </w:p>
    <w:p>
      <w:pPr>
        <w:spacing w:before="240" w:after="240"/>
        <w:rPr>
          <w:lang w:val="el" w:eastAsia="el"/>
        </w:rPr>
      </w:pPr>
      <w:r>
        <w:rPr>
          <w:b/>
          <w:bCs/>
          <w:lang w:val="el" w:eastAsia="el"/>
        </w:rPr>
        <w:t>Με την παρ. 4 του άρθρου 9 της Συμφωνίας ορίζεται ότι τα αρχεία της Ύπατης Αρμοστείας και γενικά όλα τα έγγραφα που ανήκουν σε αυτήν ή βρίσκονται στην κατοχή της είναι απαραβίαστα. Με την παρ. 5 του άρθρου 9 της Συμφωνίας ορίζεται ότι η Ύπατη Αρμοστεία, η περιουσία, το εισόδημα, τα κεφάλαια και το ενεργητικό της απολαμβάνουν:</w:t>
      </w:r>
    </w:p>
    <w:p>
      <w:pPr>
        <w:spacing w:before="240" w:after="240"/>
        <w:rPr>
          <w:lang w:val="el" w:eastAsia="el"/>
        </w:rPr>
      </w:pPr>
      <w:r>
        <w:rPr>
          <w:b/>
          <w:bCs/>
          <w:lang w:val="el" w:eastAsia="el"/>
        </w:rPr>
        <w:t>(α) Απαλλαγή από όλους τους άμεσους φόρους.</w:t>
      </w:r>
    </w:p>
    <w:p>
      <w:pPr>
        <w:spacing w:before="240" w:after="240"/>
        <w:rPr>
          <w:lang w:val="el" w:eastAsia="el"/>
        </w:rPr>
      </w:pPr>
      <w:r>
        <w:rPr>
          <w:b/>
          <w:bCs/>
          <w:lang w:val="el" w:eastAsia="el"/>
        </w:rPr>
        <w:t>(β) Απαλλαγή από:</w:t>
      </w:r>
    </w:p>
    <w:p>
      <w:pPr>
        <w:spacing w:before="240" w:after="240"/>
        <w:rPr>
          <w:lang w:val="el" w:eastAsia="el"/>
        </w:rPr>
      </w:pPr>
      <w:r>
        <w:rPr>
          <w:b/>
          <w:bCs/>
          <w:lang w:val="el" w:eastAsia="el"/>
        </w:rPr>
        <w:t>(βα) όλους τους έμμεσους φόρους, εντός του πεδίου εφαρμογής των επίσημων δραστηριοτήτων της Ύπατης Αρμοστείας στο πλαίσιο της παρούσας Συμφωνίας, συμπεριλαμβανομένου του Φόρου Προστιθέμενης Αξίας (Φ.Π.Α.) και των εισφορών, τελών, διοδίων και δασμών, εξαιρουμένου του φόρου μεταβίβασης ακινήτων. Εννοείται, ωστόσο, ότι το γραφείο της Ύπατης Αρμοστείας δεν θα ζητήσει απαλλαγή από φόρους που στην πραγματικότητα δεν είναι παρά χρεώσεις για υπηρεσίες κοινής ωφέλειας που παρέχονται από τις αρμόδιες αρχές ή από εταιρεία σύμφωνα με τους νόμους και τους κανονισμούς της Ελληνικής Δημοκρατίας σε σταθερό συντελεστή ανάλογα με το ποσό των παρεχόμενων υπηρεσιών και το οποίο μπορεί να προσδιοριστεί, να περιγραφεί και να καθοριστεί συγκεκριμένα και εννοείται περαιτέρω ότι όσον αφορά στην απαλλαγή από τον Φ.Π.Α., εφαρμόζεται η σχετική διαδικασία για την απόκτηση της απαλλαγής που καθορίζεται από τους κανόνες και τους κανονισμούς της Ελληνικής Δημοκρατίας αναφορικά με Ευρωπαϊκούς και Διεθνείς Οργανισμούς που έχουν έδρα στη χώρα, υπό την προϋπόθεση ότι παραμένουν σύμφωνοι με το Άρθρο II, Τμήμα 8 της Γενικής Σύμβασης.</w:t>
      </w:r>
    </w:p>
    <w:p>
      <w:pPr>
        <w:spacing w:before="240" w:after="240"/>
        <w:rPr>
          <w:lang w:val="el" w:eastAsia="el"/>
        </w:rPr>
      </w:pPr>
      <w:r>
        <w:rPr>
          <w:b/>
          <w:bCs/>
          <w:lang w:val="el" w:eastAsia="el"/>
        </w:rPr>
        <w:t>(ββ) δασμούς, φόρους, συμπεριλαμβανομένου του Φ.Π.Α., απαγορεύσεις και περιορισμούς σε αγαθά και υλικά κάθε είδους που εισάγονται για την επίσημη χρήση από αυτήν, δεδομένου ότι τα προαναφερόμενα αγαθά και υλικά εισάγονται για την εκπλήρωση της εντολής της Ύπατης Αρμοστείας στο πλαίσιο της παρούσας Συμφωνίας. Ειδικότερα, όσον αφορά στην παράδοση αγαθών που υπόκεινται σε ειδικούς φόρους κατανάλωσης που προορίζονται για επίσημη χρήση από το γραφείο της Ύπατης Αρμοστείας, τούτο απαλλάσσεται από την καταβολή τελωνειακών δασμών, ειδικών φόρων κατανάλωσης και Φ.Π.Α. για την παράδοση αγαθών σε εύλογες ποσότητες. Ο Υπουργός Εθνικής Οικονομίας και Οικονομικών της Ελληνικής Δημοκρατίας, μετά από πρόταση του Διοικητή της Ανεξάρτητης Αρχής Δημοσίων Εσόδων (Α.Α.Δ.Ε.), εκδίδει ειδική απόφαση για τις εύλογες ποσότητες των προαναφερόμενων αγαθών.</w:t>
      </w:r>
    </w:p>
    <w:p>
      <w:pPr>
        <w:spacing w:before="240" w:after="240"/>
        <w:rPr>
          <w:lang w:val="el" w:eastAsia="el"/>
        </w:rPr>
      </w:pPr>
      <w:r>
        <w:rPr>
          <w:b/>
          <w:bCs/>
          <w:lang w:val="el" w:eastAsia="el"/>
        </w:rPr>
        <w:t>Με την παρ. 6 του άρθρου 9 της Συμφωνίας ορίζεται ότι όλα τα έγγραφα και υλικά που σχετίζονται με πρόγραμμα της Ύπατης Αρμοστείας που βρίσκεται στην κατοχή ή υπό τον έλεγχο του προσωπικού της Ύπατης Αρμοστείας θεωρούνται έγγραφα και υλικά που ανήκουν στην Ύπατη Αρμοστεία.</w:t>
      </w:r>
    </w:p>
    <w:p>
      <w:pPr>
        <w:spacing w:before="240" w:after="240"/>
        <w:rPr>
          <w:lang w:val="el" w:eastAsia="el"/>
        </w:rPr>
      </w:pPr>
      <w:r>
        <w:rPr>
          <w:b/>
          <w:bCs/>
          <w:lang w:val="el" w:eastAsia="el"/>
        </w:rPr>
        <w:t>Με την παρ. 7 του άρθρου 9 της Συμφωνίας ορίζεται ότι η Ύπατη Αρμοστεία δεν υπόκειται σε οιουσδήποτε οικονομικούς ελέγχους, κανονισμούς ή μορατόριουμ και μπορεί ελεύθερα να: α) αποκτά από εξουσιοδοτημένα εμπορικά γραφεία, να τηρεί και να χρησιμοποιεί διαπραγματεύσιμα νομίσματα, να διατηρεί λογαριασμούς σε ξένο νόμισμα και να αποκτά μέσω εξουσιοδοτημένων ιδρυμάτων, να κατέχει και να χρησιμοποιεί κεφάλαια, τίτλους και χρυσό, β) φέρει κεφάλαια, τίτλους, ξένα νομίσματα και χρυσό στην Ελληνική Δημοκρατία από οποιαδήποτε άλλη χώρα, να τα χρησιμοποιεί εντός της Ελληνικής Δημοκρατίας ή να τα μεταφέρει σε άλλες χώρες.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της Συμφωνίας «Οχήματα του γραφείου της Ύπατης Αρμοστείας»</w:t>
      </w:r>
    </w:p>
    <w:p>
      <w:pPr>
        <w:spacing w:before="240" w:after="240"/>
        <w:rPr>
          <w:lang w:val="el" w:eastAsia="el"/>
        </w:rPr>
      </w:pPr>
      <w:r>
        <w:rPr>
          <w:b/>
          <w:bCs/>
          <w:lang w:val="el" w:eastAsia="el"/>
        </w:rPr>
        <w:t>Με την παρ. 1 του άρθρου 10 της Συμφωνίας ορίζεται ότι το γραφείο της Ύπατης Αρμοστείας απαλλάσσεται από τελωνειακούς δασμούς, τέλος ταξινόμησης, Φόρο Προστιθέμενης Αξίας και οποιουσδήποτε περιορισμούς εισαγωγής οχημάτων που εισάγονται ή αγοράζονται από το γραφείο της Ύπατης Αρμοστείας και προορίζονται για την επίσημη χρήση του.</w:t>
      </w:r>
    </w:p>
    <w:p>
      <w:pPr>
        <w:spacing w:before="240" w:after="240"/>
        <w:rPr>
          <w:lang w:val="el" w:eastAsia="el"/>
        </w:rPr>
      </w:pPr>
      <w:r>
        <w:rPr>
          <w:b/>
          <w:bCs/>
          <w:lang w:val="el" w:eastAsia="el"/>
        </w:rPr>
        <w:t>Με την παρ. 2 του άρθρου 10 της Συμφωνίας ορίζεται ότι το γραφείο της Ύπατης Αρμοστείας μπορεί ελεύθερα να διαθέτει αυτά τα οχήματα χωρίς καμία απαγόρευση ή περιορισμό και χωρίς τελωνειακούς δασμούς και φόρους μετά από την πάροδο πέντε (5) ετών από την ημερομηνία εισαγωγής ή αγοράς τους στην Ελληνική Δημοκρατία.</w:t>
      </w:r>
    </w:p>
    <w:p>
      <w:pPr>
        <w:spacing w:before="240" w:after="240"/>
        <w:rPr>
          <w:lang w:val="el" w:eastAsia="el"/>
        </w:rPr>
      </w:pPr>
      <w:r>
        <w:rPr>
          <w:b/>
          <w:bCs/>
          <w:lang w:val="el" w:eastAsia="el"/>
        </w:rPr>
        <w:t>Με την παρ. 3 του άρθρου 10 της Συμφωνίας ορίζεται ότι τα οχήματα που προορίζονται για επίσημη χρήση του γραφείου της Ύπατης Αρμοστείας απαλλάσσονται από τα ετήσια τέλη κυκλοφορίας.</w:t>
      </w:r>
    </w:p>
    <w:p>
      <w:pPr>
        <w:spacing w:before="240" w:after="240"/>
        <w:rPr>
          <w:lang w:val="el" w:eastAsia="el"/>
        </w:rPr>
      </w:pPr>
      <w:r>
        <w:rPr>
          <w:b/>
          <w:bCs/>
          <w:lang w:val="el" w:eastAsia="el"/>
        </w:rPr>
        <w:t>Με την παρ. 4 του άρθρου 10 της Συμφωνίας ορίζεται ότι κατόπιν αιτήματος της Ύπατης Αρμοστείας, παρέχονται διπλωματικές πινακίδες από την Κυβέρνηση της Φιλοξενούσας Χώρας για οχήματα που ανήκουν στην Ύπατη Αρμοστεία για την επίσημη χρήση από αυτήν, σύμφωνα με τους ισχύοντες κανονισμούς της Ελληνικής Δημοκρατίας.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της Συμφωνίας «Υπάλληλοι της Ύπατης Αρμοστείας» (παρ. 2)</w:t>
      </w:r>
    </w:p>
    <w:p>
      <w:pPr>
        <w:spacing w:before="240" w:after="240"/>
        <w:rPr>
          <w:lang w:val="el" w:eastAsia="el"/>
        </w:rPr>
      </w:pPr>
      <w:r>
        <w:rPr>
          <w:b/>
          <w:bCs/>
          <w:lang w:val="el" w:eastAsia="el"/>
        </w:rPr>
        <w:t>Με την παρ. 2 του άρθρο 12 της Συμφωνίας ορίζεται ότι οι υπάλληλοι της Ύπατης Αρμοστείας που δεν έχουν Ελληνική ιθαγένεια ή καθεστώς μακράς διαμονής στην Ελληνική Δημοκρατία, απολαμβάνουν στην Ελληνική Δημοκρατία τις ακόλουθες διευκολύνσεις, προνόμια και ασυλίες: δ) Απαλλαγή από τη φορολόγηση των μισθών και αποδοχών που τους καταβάλλονται από την Ύπατη Αρμοστεία στην Ελληνική Δημοκρατία. Η ακίνητη περιουσία που ανήκει στα πρόσωπα που αναφέρονται ανωτέρω και βρίσκεται στην Ελληνική Δημοκρατία δεν απαλλάσσεται από τους φόρους περιουσίας και τον φόρο κληρονομιάς στην Ελληνική Δημοκρατία.</w:t>
      </w:r>
    </w:p>
    <w:p>
      <w:pPr>
        <w:pStyle w:val="StructureList1"/>
        <w:spacing w:before="120" w:after="0"/>
        <w:rPr>
          <w:lang w:val="el" w:eastAsia="el"/>
        </w:rPr>
      </w:pPr>
      <w:r>
        <w:rPr>
          <w:lang w:val="el" w:eastAsia="el"/>
        </w:rPr>
        <w:t>στ)</w:t>
      </w:r>
      <w:r>
        <w:rPr>
          <w:lang w:val="en" w:eastAsia="en"/>
        </w:rPr>
        <w:tab/>
      </w:r>
      <w:r>
        <w:rPr>
          <w:b/>
          <w:bCs/>
          <w:lang w:val="el" w:eastAsia="el"/>
        </w:rPr>
        <w:t>Το δικαίωμα εισαγωγής των επίπλων και των αντικειμένων τους για προσωπική τους χρήση, χωρίς δασμούς, φόρους (συμπεριλαμβανομένων των φόρων προστιθέμενης αξίας και επί των πωλήσεων) και άλλες εισφορές, απαγορεύσεις και περιορισμούς στις εισαγωγές, ως εξής:</w:t>
      </w:r>
    </w:p>
    <w:p>
      <w:pPr>
        <w:spacing w:before="240" w:after="240"/>
        <w:rPr>
          <w:lang w:val="el" w:eastAsia="el"/>
        </w:rPr>
      </w:pPr>
      <w:r>
        <w:rPr>
          <w:b/>
          <w:bCs/>
          <w:lang w:val="el" w:eastAsia="el"/>
        </w:rPr>
        <w:t>(στα) Το δικαίωμα εισαγωγής ή μεταφοράς από την τελευταία χώρα κατοικίας τους ή τη χώρα φορολογικής κατοικίας τους ή τη χώρα της ιθαγένειάς τους, χωρίς τελωνειακούς δασμούς, Φόρο Προστιθέμενης Αξίας (Φ.Π.Α.) και χωρίς καμία απαγόρευση ή περιορισμό, όσον αφορά στην αρχική τους εγκατάσταση, εντός δύο (2) ετών από την αποδοχή του διορισμού τους στο γραφείο της Ύπατης Αρμοστείας και σε δύο (2) κατ' ανώτατο όριο αποστολές για έπιπλα και προσωπικά είδη. Ο εκτελωνισμός πραγματοποιείται με την κατάθεση της τελωνειακής διασάφησης εισαγωγής μαζί με το σχετικό έγγραφο επικυρωμένο από την αρμόδια αρχή. Οι υπάλληλοι της Ύπατης Αρμοστείας μπορούν να εξάγουν τα έπιπλα και τα αντικείμενά τους, χωρίς δασμούς, φόρους (συμπεριλαμβανομένων των φόρων προστιθέμενης αξίας και επί των πωλήσεων) και άλλες εισφορές, απαγορεύσεις και περιορισμούς κατά τη λήξη των καθηκόντων τους στην Ελληνική Δημοκρατία.</w:t>
      </w:r>
    </w:p>
    <w:p>
      <w:pPr>
        <w:spacing w:before="240" w:after="240"/>
        <w:rPr>
          <w:lang w:val="el" w:eastAsia="el"/>
        </w:rPr>
      </w:pPr>
      <w:r>
        <w:rPr>
          <w:b/>
          <w:bCs/>
          <w:lang w:val="el" w:eastAsia="el"/>
        </w:rPr>
        <w:t>(στβ) Το δικαίωμα εισαγωγής ή μεταβίβασης από άλλο Κράτος Μέλος της Ευρωπαϊκής Ένωσης (Ε.Ε.), ή αγοράς από την εσωτερική αγορά ή από άλλο Κράτος Μέλος της Ε.Ε. ή τρίτη χώρα, μηχανοκίνητου οχήματος χωρίς τελωνειακούς δασμούς, τέλη ταξινόμησης και Φ.Π.Α., σύμφωνα με τους ισχύοντες κανονισμούς της Ελληνικής Δημοκρατίας που εφαρμόζονται για μέλη διπλωματικών αποστολών συγκρίσιμων βαθμών. Το δικαίωμα αυτό εισαγωγής μηχανοκίνητου οχήματος είναι ανανεώσιμο κάθε τέσσερα (4) χρόνια υπό την προϋπόθεση ότι το όχημα αυτό θα δωρίζεται στην Ελληνική Δημοκρατία ή τουλάχιστον το μισό της τιμής πώλησης του τελευταίου θα καταβάλλεται στην Ελληνική Δημοκρατία. Οι όροι και οι προϋποθέσεις για την εφαρμογή των ανωτέρω διατάξεων καθορίζονται με ειδική Απόφαση του Υπουργού Εθνικής Οικονομίας και Οικονομικών μετά από πρόταση του Διοικητή της Ανεξάρτητης Αρχής Δημοσίων Εσόδων (Α.Α.Δ.Ε.).</w:t>
      </w:r>
    </w:p>
    <w:p>
      <w:pPr>
        <w:spacing w:before="240" w:after="240"/>
        <w:rPr>
          <w:lang w:val="el" w:eastAsia="el"/>
        </w:rPr>
      </w:pPr>
      <w:r>
        <w:rPr>
          <w:b/>
          <w:bCs/>
          <w:lang w:val="el" w:eastAsia="el"/>
        </w:rPr>
        <w:t>(στγ) Το δικαίωμα εισαγωγής ή μεταφοράς από άλλο Κράτος Μέλος της Ε.Ε., ή αγοράς από την εσωτερική αγορά, εύλογων ποσοτήτων ορισμένων αντικειμένων για προσωπική χρήση ή κατανάλωση και όχι για δωρεά ή πώληση χωρίς τελωνειακούς δασμούς, ειδικούς φόρους κατανάλωσης και Φ.Π.Α. Οι ετήσιες ποσοστώσεις καυσίμων και λοιπών ειδών που υπόκεινται σε ειδικούς φόρους κατανάλωσης που μπορούν να εισαχθούν με την απαλλαγή που προβλέπεται στο παρόν εδάφιο, καθορίζονται με ειδική απόφαση του Υπουργού Εθνικής Οικονομίας και Οικονομικών μετά από πρόταση του Διοικητή της Α.Α.Δ.Ε.</w:t>
      </w:r>
    </w:p>
    <w:p>
      <w:pPr>
        <w:pStyle w:val="StructureList1"/>
        <w:spacing w:before="120" w:after="0"/>
        <w:rPr>
          <w:lang w:val="el" w:eastAsia="el"/>
        </w:rPr>
      </w:pPr>
      <w:r>
        <w:rPr>
          <w:lang w:val="el" w:eastAsia="el"/>
        </w:rPr>
        <w:t>ζ)</w:t>
      </w:r>
      <w:r>
        <w:rPr>
          <w:lang w:val="en" w:eastAsia="en"/>
        </w:rPr>
        <w:tab/>
      </w:r>
      <w:r>
        <w:rPr>
          <w:b/>
          <w:bCs/>
          <w:lang w:val="el" w:eastAsia="el"/>
        </w:rPr>
        <w:t>Απαλλαγή από τα ετήσια τέλη κυκλοφορίας και τον φόρο πολυτελείας οχημάτων. Η απαλλαγή από τα ετήσια τέλη κυκλοφορίας χορηγείται για ένα (1) μηχανοκίνητο όχημα.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της Συμφωνίας «Εμπειρογνώμονες που εκτελούν αποστολές» (παρ. 2)</w:t>
      </w:r>
    </w:p>
    <w:p>
      <w:pPr>
        <w:spacing w:before="240" w:after="240"/>
        <w:rPr>
          <w:lang w:val="el" w:eastAsia="el"/>
        </w:rPr>
      </w:pPr>
      <w:r>
        <w:rPr>
          <w:b/>
          <w:bCs/>
          <w:lang w:val="el" w:eastAsia="el"/>
        </w:rPr>
        <w:t>Με την παρ. 2 του άρθρου 13 της Συμφωνίας ορίζεται ότι στους εμπειρογνώμονες που εκτελούν αποστολές χορηγείται απαλλαγή από τη φορολογία στην Ελληνική Δημοκρατία για τους μισθούς και τις αποδοχές που τους καταβάλλονται από την Ύπατη Αρμοστεία.</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της Συμφωνίας «Τελικές διατάξεις» (παρ. 1)</w:t>
      </w:r>
    </w:p>
    <w:p>
      <w:pPr>
        <w:spacing w:before="240" w:after="240"/>
        <w:rPr>
          <w:lang w:val="el" w:eastAsia="el"/>
        </w:rPr>
      </w:pPr>
      <w:r>
        <w:rPr>
          <w:b/>
          <w:bCs/>
          <w:lang w:val="el" w:eastAsia="el"/>
        </w:rPr>
        <w:t>Με την παρ. 1 του άρθρου 19 της Συμφωνίας ορίζεται ότι η παρούσα Συμφωνία τίθεται σε ισχύ την ημερομηνία λήψης της τελευταίας γραπτής γνωστοποίησης διά της διπλωματικής οδού, μέσω της οποίας τα Μέρη ενημερώνουν το ένα το άλλο, ότι έχουν ολοκληρωθεί οι αντίστοιχες εσωτερικές διαδικασίες τους που απαιτούνται για την έναρξη ισχύος της και θα παραμείνει σε ισχύ έως ότου τερματιστεί σύμφωνα με την παράγραφο 4 του παρόντος Άρθρου.</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τις διατάξεις του άρθρου δεύτερου του ν. 5208/2025 ορίζεται ότι η ισχύς του κοινοποιούμενου νόμου αρχίζει από τη δημοσίευσή του στην Εφημερίδα της Κυβερνήσεως και της Συμφωνίας που κυρώνεται από την πλήρωση των προϋποθέσεων της παρ. 1 του άρθρου 19 αυτής.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του ΦΕΚ Α΄95/10.06.2025 (άρθρα πρώτο και δεύτερο του ν. 5208/2025 και άρθρα 9, 10, 12, 13 και 19 της Συμφωνίας Έδρας)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7.</w:t>
      </w:r>
      <w:r>
        <w:rPr>
          <w:lang w:val="el" w:eastAsia="el"/>
        </w:rPr>
        <w:t xml:space="preserve">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Άμεσης Φορολογίας – Τμήματα Α΄, Β΄</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Φορολογίας Κεφαλαίου &amp; Περιουσιολογίου</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fk@aade.gr" TargetMode="External" /><Relationship Id="rId6" Type="http://schemas.openxmlformats.org/officeDocument/2006/relationships/hyperlink" Target="mailto:dideisep@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