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26/06/2025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Α. Π.: Ο3027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6Ξ4Ρ46ΜΠ3Ζ-ΓΜΧ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ΛΑΛΕ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Ανεξάρτητη Αρχή Δημοσίων Εσόδων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26/06/2025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Α.Π.: Ο3027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ΑΜΕΣΗΣ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Α΄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Ταχ. Κώδικας Τηλέφωνο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Email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των άρθρων 30 και 34 του ν. 5212/2025 «Ενίσχυση της δημοσιότητας και της διαφάνειας στον έντυπο και ηλεκτρονικό τύπο - Τροποποιήσεις νόμων 5005/2022 και 3548/2007 και λοιπές διατάξεις» (ΦΕΚ Α΄105/23.06.2025).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ΠΕΡΙΛΗΨΗ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ΑΝΤΙΚΕΙΜΕΝΟ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διατάξεων των άρθρων 30 και 34 του ν. 5212/2025 (ΦΕΚ Α΄ 105).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των διατάξεων των κάτωθι άρθρων του ν. 5212/2025: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του άρθρου 30 «Ελάχιστο ποσό καθαρού εισοδήματος υποδιανομέων και υποπρακτόρων τύπου - Τροποποίηση παρ. 6 άρθρου 28Α Κώδικα Φορολογίας Εισοδήματος»,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του άρθρου 34 «Έναρξη ισχύος».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Οι διατάξεις του άρθρου 30 αφορούν σε φυσικά πρόσωπα που ασκούν τη δραστηριότητα του υποδιανομέα και υποπράκτορα τύπου.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Οι διατάξεις του άρθρου 34 αφορούν στην έναρξη ισχύος του κοινοποιούμενου νόμου.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Σας κοινοποιούμε συνημμένα για ενημέρωση και εφαρμογή τις διατάξεις των άρθρων 30 και 34 του ν. 5212/2025 (ΦΕΚ Α΄ 105),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30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«Ελάχιστο ποσό καθαρού εισοδήματος υποδιανομέων και υποπρακτόρων τύπου - Τροποποίηση παρ. 6 άρθρου 28Α Κώδικα Φορολογίας Εισοδήματος».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τις διατάξεις του άρθρου 30 του κοινοποιούμενου νόμου, στην παρ. 6 του άρθρου 28Α του Κώδικα Φορολογίας Εισοδήματος (ν. 4172/2013, Α' 167), περί ελάχιστου ποσού καθαρού εισοδήματος από την άσκηση ατομικής επιχειρηματικής δραστηριότητας, προστίθεται περ. ε) και η παρ. 6 διαμορφώνεται ως εξής: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«6. Το τεκμήριο του παρόντος δεν εφαρμόζεται: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στα κέρδη από αγροτική επιχειρηματική δραστηριότητα,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σε όσους αμείβονται σύμφωνα με την περ. στ) της παρ. 2 του άρθρου 12, εφόσον συμβάλλονται με έως και τρία (3) φυσικά ή νομικά πρόσωπα, και σε ασφαλιστικούς διαμεσολαβητές που συμβάλλονται με έως και δύο (2) ασφαλιστικές επιχειρήσεις και δηλώνουν ως επαγγελματική έδρα την κατοικία τους,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σε πρόσωπα που παρουσιάζουν αναπηρία ίση ή μεγαλύτερη του ογδόντα τοις εκατό (80%), δ) σε καφενεία που βρίσκονται σε οικισμούς της χώρας με πληθυσμό μικρότερο των πεντακοσίων (500) κατοίκων,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ε) στους υποδιανομείς και υποπράκτορες τύπου, εφόσον συμβάλλονται με έως τρία (3) κεντρικά ή περιφερειακά πρακτορεία διανομής ημερήσιου τύπου, περιοδικού τύπου και εν γένει εντύπων, για τις προμήθειες που εισπράττουν από την παροχή υπηρεσίας προς τα πρακτορεία.».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Άρθρο 34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«Έναρξη ισχύος».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το άρθρο 34 του κοινοποιούμενου νόμου, ορίζονται τα ακόλουθα: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Με την επιφύλαξη της παρ. 2, η ισχύς του παρόντος αρχίζει από τη δημοσίευσή του στην Εφημερίδα της Κυβέρνησης, εκτός αν ορίζεται διαφορετικά στις επιμέρους διατάξεις.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Το άρθρο 30, περί εξαίρεσης από τον τεκμαρτό προσδιορισμό κέρδους από επιχειρηματική δραστηριότητα για τους υποδιανομείς και τους υποπράκτορες τύπου, ισχύει από το φορολογικό έτος 2024.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α/α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ΕΥΘ.ΣΑΪΤΗΣ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ΔΔΑΔ Γ’ 1049531/ΕΞ 2025/2.5.2025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Συνημμένα: Απόσπασμα του ΦΕΚ Α΄ 105/23.06.2025 (άρθρα 30 και 34 του ν. 5212/2025).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Γ΄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Στρατηγικής Τεχνολογιών Πληροφορικής (με την παράκληση να αναρτηθεί στην ιστοσελίδα της ΑΑΔΕ)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Επικοινωνίας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Ηλεκτρονική Βιβλιοθήκη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ΠΡΟΣ ΚΟΙΝΟΠΟΙΗΣΗ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Α΄ (πλην των αποδεκτών προς ενέργεια)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Αποδέκτες Πίνακα Δ΄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Κεντρική Υπηρεσία του Νομικού Συμβουλίου του Κράτους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Υφυπουργού Εθνικής Οικονομίας και Οικονομικών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Γενικής Γραμματέως Φορολογικής Πολιτικής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b/>
          <w:bCs/>
          <w:lang w:val="el" w:eastAsia="el"/>
        </w:rPr>
        <w:t>ΕΣΩΤΕΡΙΚΗ ΔΙΑΝΟΜΗ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Διοικητή Ανεξάρτητης Αρχής Δημοσίων Εσόδων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Γραφείο Προϊσταμένου Γενικής Διεύθυνσης Φορολογίας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Νομικής Υποστήριξης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</w:t>
      </w:r>
      <w:r>
        <w:rPr>
          <w:b/>
          <w:bCs/>
          <w:lang w:val="el" w:eastAsia="el"/>
        </w:rPr>
        <w:t>Διεύθυνση Εφαρμογής Άμεσης Φορολογίας –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Κεντρικό Πρωτόκολλο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ΜΟΣΧΟΒΗΣ ΒΑΣΙΛΕΙΟΣ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