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27/06/2025</w:t>
      </w:r>
    </w:p>
    <w:p>
      <w:pPr>
        <w:pStyle w:val="Title"/>
        <w:spacing w:before="120" w:after="360"/>
        <w:rPr>
          <w:lang w:val="el" w:eastAsia="el"/>
        </w:rPr>
      </w:pPr>
      <w:r>
        <w:rPr>
          <w:lang w:val="el" w:eastAsia="el"/>
        </w:rPr>
        <w:t>Α. Π.: Ο3028</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Αθήνα, 26 Ιουνίου 2025</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ΔΙΑΔΙΚΑΣΙΩΝ ΕΙΣΠΡΑΞΕΩΝ ΚΑΙ</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ΠΡΟΣ: Πίνακα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17778,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2131410110,-117,-144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4" w:history="1">
              <w:r>
                <w:rPr>
                  <w:rStyle w:val="Hyperlink"/>
                  <w:b/>
                  <w:bCs/>
                  <w:i w:val="0"/>
                  <w:iCs w:val="0"/>
                  <w:smallCaps w:val="0"/>
                  <w:color w:val="0000EE"/>
                  <w:u w:color="0000EE"/>
                  <w:lang w:val="el" w:eastAsia="el"/>
                </w:rPr>
                <w:t>dideisep@aade.gr</w:t>
              </w:r>
            </w:hyperlink>
          </w:p>
        </w:tc>
      </w:tr>
    </w:tbl>
    <w:p>
      <w:pPr>
        <w:spacing w:before="240" w:after="240"/>
        <w:rPr>
          <w:lang w:val="el" w:eastAsia="el"/>
        </w:rPr>
      </w:pPr>
      <w:r>
        <w:rPr>
          <w:b/>
          <w:bCs/>
          <w:lang w:val="el" w:eastAsia="el"/>
        </w:rPr>
        <w:t>ΘΕΜΑ: Κοινοποίηση της υπ’ αριθμ. 354/6/16.05.2025 απόφασης του Διοικητικού Συμβουλίου του Ν.Π.Δ.Δ. «ΕΛΛΗΝΙΚΟ ΚΤΗΜΑΤΟΛΟΓΙΟ» με θέμα: «Ρύθμιση θεμάτων για την ηλεκτρονική υποβολή: α) αιτήσεων για την εγγραφή πράξεων στα τηρούμενα κτηματολογικά βιβλία στα Κτηματολογικά Γραφεία και στα Υποκαταστήματα του Ν.Π.Δ.Δ. «Ελληνικό Κτηματολόγιο» και β) αιτήσεων για την εξωδικαστική διόρθωση των κτηματολογικών εγγραφών από τις υπηρεσίες και το προσωπικό της Ανεξάρτητης Αρχής Δημοσίων Εσόδων (ΑΑΔΕ)» (B’ 2619).</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υπ’ αριθμ. 354/6/16.05.2025 απόφασης του Διοικητικού Συμβουλίου του Ν.Π.Δ.Δ. «ΕΛΛΗΝΙΚΟ ΚΤΗΜΑΤΟΛΟΓΙΟ»</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κάτωθι άρθρων της υπ’ αριθμ. 354/6/16.05.2025 απόφασης του Διοικητικού Συμβουλίου του Ν.Π.Δ.Δ. «ΕΛΛΗΝΙΚΟ ΚΤΗΜΑΤΟΛΟΓΙΟ :</w:t>
      </w:r>
    </w:p>
    <w:p>
      <w:pPr>
        <w:spacing w:before="240" w:after="240"/>
        <w:rPr>
          <w:lang w:val="el" w:eastAsia="el"/>
        </w:rPr>
      </w:pPr>
      <w:r>
        <w:rPr>
          <w:lang w:val="el" w:eastAsia="el"/>
        </w:rPr>
        <w:t xml:space="preserve">1. </w:t>
      </w:r>
      <w:r>
        <w:rPr>
          <w:b/>
          <w:bCs/>
          <w:lang w:val="el" w:eastAsia="el"/>
        </w:rPr>
        <w:t>του άρθρου 1 : «Ηλεκτρονική υποβολή αιτήσεων για την εγγραφή πράξεων στα τηρούμενα κτηματολογικά βιβλία»</w:t>
      </w:r>
    </w:p>
    <w:p>
      <w:pPr>
        <w:spacing w:before="240" w:after="240"/>
        <w:rPr>
          <w:lang w:val="el" w:eastAsia="el"/>
        </w:rPr>
      </w:pPr>
      <w:r>
        <w:rPr>
          <w:lang w:val="el" w:eastAsia="el"/>
        </w:rPr>
        <w:t xml:space="preserve">2. </w:t>
      </w:r>
      <w:r>
        <w:rPr>
          <w:b/>
          <w:bCs/>
          <w:lang w:val="el" w:eastAsia="el"/>
        </w:rPr>
        <w:t>του άρθρου 2 : «Ηλεκτρονική υποβολή αιτήσεων για την εξωδικαστική διόρθωση των κτηματολογικών εγγραφών»</w:t>
      </w:r>
    </w:p>
    <w:p>
      <w:pPr>
        <w:spacing w:before="240" w:after="240"/>
        <w:rPr>
          <w:lang w:val="el" w:eastAsia="el"/>
        </w:rPr>
      </w:pPr>
      <w:r>
        <w:rPr>
          <w:lang w:val="el" w:eastAsia="el"/>
        </w:rPr>
        <w:t xml:space="preserve">3. </w:t>
      </w:r>
      <w:r>
        <w:rPr>
          <w:b/>
          <w:bCs/>
          <w:lang w:val="el" w:eastAsia="el"/>
        </w:rPr>
        <w:t>του άρθρου 3: «Καθορισμός ημερομηνίας για την υποχρεωτική ηλεκτρονική υποβολή»</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Οι παρ. 1, 2 του άρθρου 1 αφορούν στη διαδικασία ηλεκτρονικής υποβολής εκ μέρους προσωπικού της ΑΑΔΕ των αιτήσεων για εγγραφή πράξεων στα τηρούμενα κτηματολογικά βιβλία.</w:t>
      </w:r>
    </w:p>
    <w:p>
      <w:pPr>
        <w:spacing w:before="240" w:after="240"/>
        <w:rPr>
          <w:lang w:val="el" w:eastAsia="el"/>
        </w:rPr>
      </w:pPr>
      <w:r>
        <w:rPr>
          <w:lang w:val="el" w:eastAsia="el"/>
        </w:rPr>
        <w:t xml:space="preserve">2. </w:t>
      </w:r>
      <w:r>
        <w:rPr>
          <w:b/>
          <w:bCs/>
          <w:lang w:val="el" w:eastAsia="el"/>
        </w:rPr>
        <w:t>Οι παρ. 1, 2 του άρθρου 2 αφορούν στη διαδικασία ηλεκτρονικής υποβολής εκ μέρους προσωπικού της ΑΑΔΕ των αιτήσεων για εξωδικαστική διόρθωση των κτηματολογικών εγγραφών.</w:t>
      </w:r>
    </w:p>
    <w:p>
      <w:pPr>
        <w:spacing w:before="240" w:after="240"/>
        <w:rPr>
          <w:lang w:val="el" w:eastAsia="el"/>
        </w:rPr>
      </w:pPr>
      <w:r>
        <w:rPr>
          <w:lang w:val="el" w:eastAsia="el"/>
        </w:rPr>
        <w:t xml:space="preserve">3. </w:t>
      </w:r>
      <w:r>
        <w:rPr>
          <w:b/>
          <w:bCs/>
          <w:lang w:val="el" w:eastAsia="el"/>
        </w:rPr>
        <w:t>Το άρθρο 3 αφορά στην έναρξη ισχύος της κοινοποιούμενης απόφασης.</w:t>
      </w:r>
    </w:p>
    <w:p>
      <w:pPr>
        <w:spacing w:before="240" w:after="240"/>
        <w:rPr>
          <w:lang w:val="el" w:eastAsia="el"/>
        </w:rPr>
      </w:pPr>
      <w:r>
        <w:rPr>
          <w:b/>
          <w:bCs/>
          <w:lang w:val="el" w:eastAsia="el"/>
        </w:rPr>
        <w:t>Σας κοινοποιούμε συνημμένα για ενημέρωση και εφαρμογή τα άρθρα 1, 2 και 3 της υπ’ αριθμ. 354/6/16.05.2025 απόφασης του Διοικητικού Συμβουλίου του Ν.Π.Δ.Δ. «ΕΛΛΗΝΙΚΟ ΚΤΗΜΑΤΟΛΟΓΙΟ, ως ακολούθως:</w:t>
      </w:r>
    </w:p>
    <w:p>
      <w:pPr>
        <w:spacing w:before="240" w:after="240"/>
        <w:rPr>
          <w:lang w:val="el" w:eastAsia="el"/>
        </w:rPr>
      </w:pPr>
      <w:r>
        <w:rPr>
          <w:b/>
          <w:bCs/>
          <w:lang w:val="el" w:eastAsia="el"/>
        </w:rPr>
        <w:t>Α. Άρθρο 1 «Ηλεκτρονική υποβολή αιτήσεων για την εγγραφή πράξεων στα τηρούμενα κτηματολογικά βιβλία»</w:t>
      </w:r>
    </w:p>
    <w:p>
      <w:pPr>
        <w:spacing w:before="240" w:after="240"/>
        <w:rPr>
          <w:lang w:val="el" w:eastAsia="el"/>
        </w:rPr>
      </w:pPr>
      <w:r>
        <w:rPr>
          <w:lang w:val="el" w:eastAsia="el"/>
        </w:rPr>
        <w:t xml:space="preserve">1. </w:t>
      </w:r>
      <w:r>
        <w:rPr>
          <w:b/>
          <w:bCs/>
          <w:lang w:val="el" w:eastAsia="el"/>
        </w:rPr>
        <w:t>Στην παρ. 1 του άρθρου 1 ορίζεται ότι το προσωπικό της Ανεξάρτητης Αρχής Δημοσίων Εσόδων (ΑΑΔΕ) και ειδικότερα εξουσιοδοτημένοι υπάλληλοι των υπηρεσιών της, όπως κάθε φορά νομίμως και αρμοδίως ορίζονται μέσω της Υπηρεσίας Εξουσιοδότησης Χρηστών Οριζόντιων Πληροφοριακών Συστημάτων Δημόσιας Διοίκησης, με μέριμνα της Αρχής, υποβάλλουν ηλεκτρονικά κάθε εγγραπτέα πράξη, που εκδίδεται κατά την κείμενη νομοθεσία από τις ίδιες υπηρεσίες και διακινείται προς εγγραφή στα κτηματολογικά βιβλία που τηρούνται στα κατά τόπους αρμόδια Κτηματολογικά Γραφεία και Υποκαταστήματα του Φορέα Ελληνικό Κτηματολόγιο, επιφέρουσα σύσταση, μετάθεση, αλλοίωση ή κατάργηση εγγραπτέων δικαιωμάτων υπέρ του Ελληνικού Δημοσίου διά των ίδιων υπηρεσιών, σε κτηματογραφημένα ακίνητα. Το ίδιο ισχύει και σε όσες περιπτώσεις πρόκειται για εγγραπτέες πράξεις που έχουν συνταχθεί και εκδοθεί από τρίτους και διακινούνται προς εγγραφή από το προσωπικό της Ανεξάρτητης Αρχής Δημοσίων Εσόδων (ΑΑΔΕ), σύμφωνα με το πρώτο εδάφιο, για την προάσπιση των εννόμων συμφερόντων του Ελληνικού Δημοσίου και για τις οποίες προβλέπεται υποχρεωτική ηλεκτρονική υποβολή κατά την κείμενη νομοθεσία.</w:t>
      </w:r>
    </w:p>
    <w:p>
      <w:pPr>
        <w:spacing w:before="240" w:after="240"/>
        <w:rPr>
          <w:lang w:val="el" w:eastAsia="el"/>
        </w:rPr>
      </w:pPr>
      <w:r>
        <w:rPr>
          <w:lang w:val="el" w:eastAsia="el"/>
        </w:rPr>
        <w:t xml:space="preserve">2. </w:t>
      </w:r>
      <w:r>
        <w:rPr>
          <w:b/>
          <w:bCs/>
          <w:lang w:val="el" w:eastAsia="el"/>
        </w:rPr>
        <w:t>Στην παρ. 2 του άρθρου 1 ορίζεται ότι για την ηλεκτρονική υποβολή της αίτησης της παρ. 1 προς εγγραφή της πράξης, οι εξουσιοδοτημένοι υπάλληλοι θα εισέρχονται στη σχετική ηλεκτρονική υπηρεσία με χρήση των κωδικών Δημόσιας Διοίκησης που διαθέτουν. Κατά τα λοιπά εφαρμόζονται αναλόγως οι αρχές, ο τρόπος και η διαδικασία, όπως ορίζονται στην υπό στοιχεία ΔΣ 101/16/28.05.2020 απόφαση του ΔΣ του Ν.Π.Δ.Δ. “Ελληνικό Κτηματολόγιο” «Ηλεκτρονική υποβολή αιτήσεων για την εγγραφή πράξεων στα τηρούμενα κτηματολογικά βιβλία στα Κτηματολογικά Γραφεία και στα Υποκαταστήματα του Ν.Π.Δ.Δ. Ελληνικό Κτηματολόγιο - Τροποποίηση της υπ’ αρ. 61/16/10.04.2019 απόφασης του ΔΣ του Ν.Π.Δ.Δ. Ελληνικό Κτηματολόγιο (Β’ 1390)» (Β’ 2681).</w:t>
      </w:r>
    </w:p>
    <w:p>
      <w:pPr>
        <w:spacing w:before="240" w:after="240"/>
        <w:rPr>
          <w:lang w:val="el" w:eastAsia="el"/>
        </w:rPr>
      </w:pPr>
      <w:r>
        <w:rPr>
          <w:b/>
          <w:bCs/>
          <w:lang w:val="el" w:eastAsia="el"/>
        </w:rPr>
        <w:t>Β. Άρθρο 2 «Ηλεκτρονική υποβολή αιτήσεων για την εξωδικαστική διόρθωση των κτηματολογικών εγγραφών»</w:t>
      </w:r>
    </w:p>
    <w:p>
      <w:pPr>
        <w:spacing w:before="240" w:after="240"/>
        <w:rPr>
          <w:lang w:val="el" w:eastAsia="el"/>
        </w:rPr>
      </w:pPr>
      <w:r>
        <w:rPr>
          <w:lang w:val="el" w:eastAsia="el"/>
        </w:rPr>
        <w:t xml:space="preserve">1. </w:t>
      </w:r>
      <w:r>
        <w:rPr>
          <w:b/>
          <w:bCs/>
          <w:lang w:val="el" w:eastAsia="el"/>
        </w:rPr>
        <w:t>Στην παρ. 1 του άρθρου 2 ορίζεται ότι το προσωπικό της Ανεξάρτητης Αρχής Δημοσίων Εσόδων (ΑΑΔΕ) και ειδικότερα εξουσιοδοτημένοι υπάλληλοι των υπηρεσιών της, όπως κάθε φορά νομίμως και αρμοδίως ορίζονται μέσω της Υπηρεσίας Εξουσιοδότησης Χρηστών Οριζόντιων Πληροφοριακών Συστημάτων Δημόσιας Διοίκησης, με μέριμνα της Αρχής, υποβάλλουν ηλεκτρονικά τις αιτήσεις για την εξωδικαστική διόρθωση των κτηματολογικών εγγραφών στα κατά τόπους αρμόδια Κτηματολογικά Γραφεία και Υποκαταστήματα του Φορέα Ελληνικό Κτηματολόγιο κατά τις διατάξεις του ν. 2664/1998 και ειδικότερα: α) αιτήσεις για τη διόρθωση πρόδηλων σφαλμάτων κατά τους ορισμούς του άρθρου 18 του ν. 2664/1998 και την εγγραφή τους στα τηρούμενα κτηματολογικά βιβλία και β) αιτήσεων της παρ. 4 του άρθρου 6 του ίδιου νόμου.</w:t>
      </w:r>
    </w:p>
    <w:p>
      <w:pPr>
        <w:spacing w:before="240" w:after="240"/>
        <w:rPr>
          <w:lang w:val="el" w:eastAsia="el"/>
        </w:rPr>
      </w:pPr>
      <w:r>
        <w:rPr>
          <w:lang w:val="el" w:eastAsia="el"/>
        </w:rPr>
        <w:t xml:space="preserve">2. </w:t>
      </w:r>
      <w:r>
        <w:rPr>
          <w:b/>
          <w:bCs/>
          <w:lang w:val="el" w:eastAsia="el"/>
        </w:rPr>
        <w:t>Στην παρ. 2 του άρθρου 2 ορίζεται ότι για την ηλεκτρονική υποβολή των αιτήσεων της παρ. 1 προς εγγραφή της αίτησης διόρθωσης, οι εξουσιοδοτημένοι υπάλληλοι θα εισέρχονται στη σχετική ηλεκτρονική υπηρεσία με χρήση των κωδικών Δημόσιας Διοίκησης που διαθέτουν. Κατά τα λοιπά εφαρμόζονται αναλόγως οι αρχές, ο τρόπος και η διαδικασία, όπως ορίζονται στις υπό στοιχεία: α) ΔΣ 264/8/28.12.2023 «Ηλεκτρονική υποβολή αιτήσεων διόρθωσης πρόδηλων σφαλμάτων του ν. 2664/1998 στα Κτηματολογικά Γραφεία και στα Υποκαταστήματα του Φορέα “Ελληνικό Κτηματολόγιο”» (Β’ 7471) και β) ΔΣ 288/6/06.06.2024 «Ηλεκτρονική υποβολή αιτήσεων της παρ. 4 του άρθρου 6 του ν. 2664/1998 στα Κτηματολογικά Γραφεία και στα Υποκαταστήματα του Φορέα “Ελληνικό Κτηματολόγιο”» (Β’ 3271) αποφάσεις του Δ.Σ. του Ν.Π.Δ.Δ. “Ελληνικό Κτηματολόγιο”.</w:t>
      </w:r>
    </w:p>
    <w:p>
      <w:pPr>
        <w:spacing w:before="240" w:after="240"/>
        <w:rPr>
          <w:lang w:val="el" w:eastAsia="el"/>
        </w:rPr>
      </w:pPr>
      <w:r>
        <w:rPr>
          <w:lang w:val="el" w:eastAsia="el"/>
        </w:rPr>
        <w:t xml:space="preserve">Γ. </w:t>
      </w:r>
      <w:r>
        <w:rPr>
          <w:b/>
          <w:bCs/>
          <w:lang w:val="el" w:eastAsia="el"/>
        </w:rPr>
        <w:t>Άρθρο 3 «Καθορισμός ημερομηνίας για την υποχρεωτική ηλεκτρονική υποβολή»</w:t>
      </w:r>
    </w:p>
    <w:p>
      <w:pPr>
        <w:spacing w:before="240" w:after="240"/>
        <w:rPr>
          <w:lang w:val="el" w:eastAsia="el"/>
        </w:rPr>
      </w:pPr>
      <w:r>
        <w:rPr>
          <w:lang w:val="el" w:eastAsia="el"/>
        </w:rPr>
        <w:t xml:space="preserve">1. </w:t>
      </w:r>
      <w:r>
        <w:rPr>
          <w:b/>
          <w:bCs/>
          <w:lang w:val="el" w:eastAsia="el"/>
        </w:rPr>
        <w:t>Στο πρώτο εδάφιο του άρθρου 3 ορίζεται ότι από την 1η Ιουλίου 2025, ημέρα Τρίτη, η υποβολή των αιτήσεων του άρθρου 1 για την εγγραφή πράξεων στα τηρούμενα κτηματολογικά βιβλία και του άρθρου 2 για την εξωδικαστική διόρθωση των κτηματολογικών εγγραφών από το προσωπικό της Ανεξάρτητης Αρχής Δημοσίων Εσόδων (ΑΑΔΕ), σύμφωνα με τα ίδια άρθρα, διενεργείται υποχρεωτικά μόνο ηλεκτρονικά στα Κτηματολογικά Γραφεία και στα Υποκαταστήματα του Φορέα “Ελληνικό Κτηματολόγιο” σε όλη την επικράτεια. Στο δεύτερο εδάφιο του άρθρου 3 της κοινοποιούμενης απόφασης ορίζεται ότι από τη δημοσίευση της απόφασης αυτής (27.5.2025) και μέχρι την ημερομηνία του πρώτου εδαφίου του άρθρου 3 (1.7.2025), οι αιτήσεις του άρθρου 1 και του άρθρου 2 δύνανται να υποβάλλονται ηλεκτρονικά στα κατά τόπους Κτηματολογικά Γραφεία και στα Υποκαταστήματα του Φορέα “Ελληνικό Κτηματολόγιο”, σύμφωνα με όσα ειδικότερα αναφέρονται στα ίδια άρθρα.</w:t>
      </w:r>
    </w:p>
    <w:p>
      <w:pPr>
        <w:spacing w:before="240" w:after="240"/>
        <w:rPr>
          <w:lang w:val="el" w:eastAsia="el"/>
        </w:rPr>
      </w:pPr>
      <w:r>
        <w:rPr>
          <w:b/>
          <w:bCs/>
          <w:lang w:val="el" w:eastAsia="el"/>
        </w:rPr>
        <w:t>Κατά τα λοιπά η ισχύς της κοινοποιούμενης απόφασης αρχίζει από τη δημοσίευσή της στην Εφημερίδα της Κυβερνήσεως, με την επιφύλαξη όσων ορίζονται στο πρώτο και δεύτερο εδάφιο του άρθρου 3.</w:t>
      </w:r>
    </w:p>
    <w:p>
      <w:pPr>
        <w:spacing w:before="240" w:after="240"/>
        <w:rPr>
          <w:lang w:val="el" w:eastAsia="el"/>
        </w:rPr>
      </w:pPr>
      <w:r>
        <w:rPr>
          <w:lang w:val="el" w:eastAsia="el"/>
        </w:rPr>
        <w:t xml:space="preserve">2. </w:t>
      </w:r>
      <w:r>
        <w:rPr>
          <w:b/>
          <w:bCs/>
          <w:lang w:val="el" w:eastAsia="el"/>
        </w:rPr>
        <w:t>Επισημαίνεται τέλος ότι τα οριζόμενα στην ως άνω απόφαση αφορούν την ψηφιακή εγγραφή πράξεων και την υποβολή αιτήσεων, όπως παραπάνω αναλυτικά περιγράφεται, προς τα ήδη λειτουργούντα Κτηματολογικά Γραφεία και Υποκαταστήματα του ΝΠΔΔ «Ελληνικό Κτηματολόγιο» σε όλη την χώρα (Περιοχές αρμοδιότητας Κτηματολογικών Γραφείων του Φορέα «Ελληνικό Κτηματολόγιο”-</w:t>
      </w:r>
      <w:hyperlink r:id="rId5" w:history="1">
        <w:r>
          <w:rPr>
            <w:rStyle w:val="Hyperlink"/>
            <w:b/>
            <w:bCs/>
            <w:color w:val="0000EE"/>
            <w:u w:color="0000EE"/>
            <w:lang w:val="el" w:eastAsia="el"/>
          </w:rPr>
          <w:t>https://www.ktimanet.gr/TameioCertificates/Main/Areas</w:t>
        </w:r>
      </w:hyperlink>
      <w:r>
        <w:rPr>
          <w:b/>
          <w:bCs/>
          <w:lang w:val="el" w:eastAsia="el"/>
        </w:rPr>
        <w:t>).</w:t>
      </w:r>
    </w:p>
    <w:p>
      <w:pPr>
        <w:spacing w:before="240" w:after="240"/>
        <w:rPr>
          <w:lang w:val="el" w:eastAsia="el"/>
        </w:rPr>
      </w:pPr>
      <w:r>
        <w:rPr>
          <w:b/>
          <w:bCs/>
          <w:lang w:val="el" w:eastAsia="el"/>
        </w:rPr>
        <w:t>Συνημμένα: ΦΕΚ Β΄2619/27.05.2025</w:t>
      </w:r>
    </w:p>
    <w:p>
      <w:pPr>
        <w:spacing w:before="240" w:after="240"/>
        <w:rPr>
          <w:lang w:val="el" w:eastAsia="el"/>
        </w:rPr>
      </w:pPr>
      <w:r>
        <w:rPr>
          <w:b/>
          <w:bCs/>
          <w:lang w:val="el" w:eastAsia="el"/>
        </w:rPr>
        <w:t>Ο ΔΙΟΙΚΗΤΗΣ ΤΗΣ ΑΑΔΕα/α</w:t>
      </w:r>
    </w:p>
    <w:p>
      <w:pPr>
        <w:spacing w:before="240" w:after="240"/>
        <w:rPr>
          <w:lang w:val="el" w:eastAsia="el"/>
        </w:rPr>
      </w:pPr>
      <w:r>
        <w:rPr>
          <w:b/>
          <w:bCs/>
          <w:lang w:val="el" w:eastAsia="el"/>
        </w:rPr>
        <w:t>ΕΥΘΥΜΙΟΣ ΣΑΙΤΗΣ</w:t>
      </w:r>
    </w:p>
    <w:p>
      <w:pPr>
        <w:spacing w:before="240" w:after="240"/>
        <w:rPr>
          <w:lang w:val="el" w:eastAsia="el"/>
        </w:rPr>
      </w:pPr>
      <w:r>
        <w:rPr>
          <w:b/>
          <w:bCs/>
          <w:lang w:val="el" w:eastAsia="el"/>
        </w:rPr>
        <w:t>ΔΔΑΔ Γ 1049531/ΕΞ 2025 /2-5-2025</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Αποδέκτες Πίνακα Δ΄</w:t>
      </w:r>
    </w:p>
    <w:p>
      <w:pPr>
        <w:spacing w:before="240" w:after="240"/>
        <w:rPr>
          <w:lang w:val="el" w:eastAsia="el"/>
        </w:rPr>
      </w:pPr>
      <w:r>
        <w:rPr>
          <w:b/>
          <w:bCs/>
          <w:lang w:val="el" w:eastAsia="el"/>
        </w:rPr>
        <w:t xml:space="preserve">3.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4.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5.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6. </w:t>
      </w:r>
      <w:r>
        <w:rPr>
          <w:b/>
          <w:bCs/>
          <w:lang w:val="el" w:eastAsia="el"/>
        </w:rPr>
        <w:t>Ελληνικό Κτηματολόγιο</w:t>
      </w:r>
    </w:p>
    <w:p>
      <w:pPr>
        <w:spacing w:before="240" w:after="240"/>
        <w:rPr>
          <w:lang w:val="el" w:eastAsia="el"/>
        </w:rPr>
      </w:pPr>
      <w:r>
        <w:rPr>
          <w:b/>
          <w:bCs/>
          <w:lang w:val="el" w:eastAsia="el"/>
        </w:rPr>
        <w:t xml:space="preserve">III. </w:t>
      </w: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b/>
          <w:bCs/>
          <w:lang w:val="el" w:eastAsia="el"/>
        </w:rPr>
        <w:t xml:space="preserve">3. </w:t>
      </w:r>
      <w:r>
        <w:rPr>
          <w:b/>
          <w:bCs/>
          <w:lang w:val="el" w:eastAsia="el"/>
        </w:rPr>
        <w:t>Γραφείο Προϊσταμένου Γενικής Διεύθυνσης Φορολογικών Λειτουργιών</w:t>
      </w:r>
    </w:p>
    <w:p>
      <w:pPr>
        <w:spacing w:before="240" w:after="240"/>
        <w:rPr>
          <w:lang w:val="el" w:eastAsia="el"/>
        </w:rPr>
      </w:pPr>
      <w:r>
        <w:rPr>
          <w:b/>
          <w:bCs/>
          <w:lang w:val="el" w:eastAsia="el"/>
        </w:rPr>
        <w:t xml:space="preserve">4. </w:t>
      </w:r>
      <w:r>
        <w:rPr>
          <w:b/>
          <w:bCs/>
          <w:lang w:val="el" w:eastAsia="el"/>
        </w:rPr>
        <w:t>Διεύθυνση Νομικής Υποστήριξης</w:t>
      </w:r>
    </w:p>
    <w:p>
      <w:pPr>
        <w:spacing w:before="240" w:after="240"/>
        <w:rPr>
          <w:lang w:val="el" w:eastAsia="el"/>
        </w:rPr>
      </w:pPr>
      <w:r>
        <w:rPr>
          <w:b/>
          <w:bCs/>
          <w:lang w:val="el" w:eastAsia="el"/>
        </w:rPr>
        <w:t xml:space="preserve">5. </w:t>
      </w:r>
      <w:r>
        <w:rPr>
          <w:b/>
          <w:bCs/>
          <w:lang w:val="el" w:eastAsia="el"/>
        </w:rPr>
        <w:t>Διεύθυνση Τελωνειακών Διαδικασιών</w:t>
      </w:r>
    </w:p>
    <w:p>
      <w:pPr>
        <w:spacing w:before="240" w:after="240"/>
        <w:rPr>
          <w:lang w:val="el" w:eastAsia="el"/>
        </w:rPr>
      </w:pPr>
      <w:r>
        <w:rPr>
          <w:b/>
          <w:bCs/>
          <w:lang w:val="el" w:eastAsia="el"/>
        </w:rPr>
        <w:t xml:space="preserve">6. </w:t>
      </w:r>
      <w:r>
        <w:rPr>
          <w:b/>
          <w:bCs/>
          <w:lang w:val="el" w:eastAsia="el"/>
        </w:rPr>
        <w:t>Διεύθυνση Διαδικασιών Εισπράξεων και Επιστροφών – Τμήματα Α,Β,Γ, Γραμματεία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Κεντρικό Πρωτόκολλο</w:t>
      </w:r>
    </w:p>
    <w:p>
      <w:pPr>
        <w:spacing w:before="240" w:after="240"/>
        <w:rPr>
          <w:lang w:val="el" w:eastAsia="el"/>
        </w:rPr>
      </w:pPr>
      <w:r>
        <w:rPr>
          <w:b/>
          <w:bCs/>
          <w:lang w:val="el" w:eastAsia="el"/>
        </w:rPr>
        <w:t>ΚΑΛΑΪΤΖΙ∆ΗΣ ΓΕΩΡΓΙΟΣ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s://www.ktimanet.gr/TameioCertificates/Main/Area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