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Αθήνα, 25/07/2025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Α. Π.: Ο3038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o </w:t>
      </w:r>
      <w:r>
        <w:rPr>
          <w:b/>
          <w:bCs/>
          <w:lang w:val="el" w:eastAsia="el"/>
        </w:rPr>
        <w:t>ΤΜΗΜΑ ΙΙ: ΒΑΣΗ ΥΠΟΛΟΓΙΣΜΟΥ ΚΑΙ ΕΚΠΤΩΣΕΙΣ ΑΠΟ ΤΟ ΦΟΡΟ (άρθρα 1113)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o </w:t>
      </w:r>
      <w:r>
        <w:rPr>
          <w:b/>
          <w:bCs/>
          <w:lang w:val="el" w:eastAsia="el"/>
        </w:rPr>
        <w:t>ΤΜΗΜΑ ΙΙΙ: ΠΡΟΣΔΙΟΡΙΣΜΟΣ, ΚΑΤΑΒΟΛΗ ΚΑΙ ΑΝΑΣΤΟΛΗ ΚΑΤΑΒΟΛΗΣ ΤΟΥ ΦΟΡΟΥ (άρθρα 14- 16)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o </w:t>
      </w:r>
      <w:r>
        <w:rPr>
          <w:b/>
          <w:bCs/>
          <w:lang w:val="el" w:eastAsia="el"/>
        </w:rPr>
        <w:t>ΤΜΗΜΑ ΙV: ΜΕΤΑΒΑΤΙΚΕΣ ΔΙΑΤΑΞΕΙΣ (άρθρο 17)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ΜΕΡΟΣ Β’: ΕΙΔΙΚΟΣ ΦΟΡΟΣ ΕΠΙ ΤΩΝ ΑΚΙΝΗΤΩΝ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o </w:t>
      </w:r>
      <w:r>
        <w:rPr>
          <w:b/>
          <w:bCs/>
          <w:lang w:val="el" w:eastAsia="el"/>
        </w:rPr>
        <w:t>ΤΜΗΜΑ Ι: ΠΕΔΙΟ ΕΦΑΡΜΟΓΗΣ (άρθρα 18- 20)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o </w:t>
      </w:r>
      <w:r>
        <w:rPr>
          <w:b/>
          <w:bCs/>
          <w:lang w:val="el" w:eastAsia="el"/>
        </w:rPr>
        <w:t>ΤΜΗΜΑ ΙΙ: ΔΗΛΩΣΗ ΚΑΙ ΚΑΤΑΒΟΛΗ ΤΟΥ ΦΟΡΟΥ (άρθρο 21)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ΒΙΒΛΙΟ ΤΡΙΤΟ: ΦΟΡΟΛΟΓΙΑ ΜΕΤΑΒΙΒΑΣΗΣ ΑΚΙΝΗΤΗΣ ΚΑΙ ΚΙΝΗΤΗΣ ΠΕΡΙΟΥΣΙΑΣ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ΜΕΡΟΣ Α’: ΦΟΡΟΣ ΜΕΤΑΒΙΒΑΣΗΣ ΑΚΙΝΗΤΩΝ ΚΑΙ ΠΛΟΙΩΝ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o </w:t>
      </w:r>
      <w:r>
        <w:rPr>
          <w:b/>
          <w:bCs/>
          <w:lang w:val="el" w:eastAsia="el"/>
        </w:rPr>
        <w:t>ΤΜΗΜΑ Ι: ΠΕΔΙΟ ΕΦΑΡΜΟΓΗΣ (άρθρα 22- 24)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o </w:t>
      </w:r>
      <w:r>
        <w:rPr>
          <w:b/>
          <w:bCs/>
          <w:lang w:val="el" w:eastAsia="el"/>
        </w:rPr>
        <w:t>ΤΜΗΜΑ ΙΙ: ΒΑΣΗ ΥΠΟΛΟΓΙΣΜΟΥ, ΥΠΟΒΟΛΗ ΔΗΛΩΣΗΣ ΚΑΙ ΚΑΤΑΒΟΛΗ ΤΟΥ ΦΟΡΟΥ (άρθρα 25- 29)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o </w:t>
      </w:r>
      <w:r>
        <w:rPr>
          <w:b/>
          <w:bCs/>
          <w:lang w:val="el" w:eastAsia="el"/>
        </w:rPr>
        <w:t>ΤΜΗΜΑ ΙΙΙ: ΕΙΔΙΚΕΣ ΠΕΡΙΠΤΩΣΕΙΣ (άρθρα 30- 38)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o </w:t>
      </w:r>
      <w:r>
        <w:rPr>
          <w:b/>
          <w:bCs/>
          <w:lang w:val="el" w:eastAsia="el"/>
        </w:rPr>
        <w:t>ΤΜΗΜΑ ΙV: ΑΠΑΛΛΑΓΕΣ ΑΠΟ ΤΟ ΦΟΡΟ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▪ </w:t>
      </w:r>
      <w:r>
        <w:rPr>
          <w:b/>
          <w:bCs/>
          <w:lang w:val="el" w:eastAsia="el"/>
        </w:rPr>
        <w:t>ΚΕΦΑΛΑΙΟ Α’: ΓΕΝΙΚΕΣ ΑΠΑΛΛΑΓΕΣ (άρθρο 39)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▪ </w:t>
      </w:r>
      <w:r>
        <w:rPr>
          <w:b/>
          <w:bCs/>
          <w:lang w:val="el" w:eastAsia="el"/>
        </w:rPr>
        <w:t>ΚΕΦΑΛΑΙΟ Β’: ΕΙΔΙΚΗ ΑΠΑΛΛΑΓΗ ΓΙΑ ΑΓΟΡΑ ΠΡΩΤΗΣ ΚΑΤΟΙΚΙΑΣ (άρθρα 40- 45)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▪ </w:t>
      </w:r>
      <w:r>
        <w:rPr>
          <w:b/>
          <w:bCs/>
          <w:lang w:val="el" w:eastAsia="el"/>
        </w:rPr>
        <w:t>ΚΕΦΑΛΑΙΟ Γ’: ΕΙΔΙΚΗ ΑΓΡΟΤΙΚΗ ΑΠΑΛΛΑΓΗ (άρθρα 46- 48)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o </w:t>
      </w:r>
      <w:r>
        <w:rPr>
          <w:b/>
          <w:bCs/>
          <w:lang w:val="el" w:eastAsia="el"/>
        </w:rPr>
        <w:t>ΤΜΗΜΑ V: ΕΙΔΙΚΕΣ ΠΕΡΙΠΤΩΣΕΙΣ ΕΠΙΣΤΡΟΦΗΣ ΤΟΥ ΦΟΡΟΥ (άρθρο 49)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o </w:t>
      </w:r>
      <w:r>
        <w:rPr>
          <w:b/>
          <w:bCs/>
          <w:lang w:val="el" w:eastAsia="el"/>
        </w:rPr>
        <w:t>ΤΜΗΜΑ VI: ΥΠΟΧΡΕΩΣΕΙΣ ΣΥΜΒΟΛΑΙΟΓΡΑΦΩΝ, ΠΡΟΪΣΤΑΜΕΝΩΝ ΚΤΗΜΑΤΟΛΟΓΙΚΩΝ ΓΡΑΦΕΙΩΝ ΚΑΙ ΔΗΜΟΣΙΩΝ ΑΡΧΩΝ (άρθρα 50- 52)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ΜΕΡΟΣ Β’: ΦΟΡΟΣ ΚΛΗΡΟΝΟΜΙΩΝ, ΔΩΡΕΩΝ, ΓΟΝΙΚΩΝ ΠΑΡΟΧΩΝ ΚΑΙ ΚΕΡΔΩΝ ΑΠΟ ΤΥΧΕΡΑ ΠΑΙΓΝΙΑ (άρθρο 53)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o </w:t>
      </w:r>
      <w:r>
        <w:rPr>
          <w:b/>
          <w:bCs/>
          <w:lang w:val="el" w:eastAsia="el"/>
        </w:rPr>
        <w:t>ΤΜΗΜΑ Ι: ΦΟΡΟΣ ΚΛΗΡΟΝΟΜΙΩΝ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▪ </w:t>
      </w:r>
      <w:r>
        <w:rPr>
          <w:b/>
          <w:bCs/>
          <w:lang w:val="el" w:eastAsia="el"/>
        </w:rPr>
        <w:t>ΚΕΦΑΛΑΙΟ Α’: ΠΕΔΙΟ ΕΦΑΡΜΟΓΗΣ (άρθρα 54- 57)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▪ </w:t>
      </w:r>
      <w:r>
        <w:rPr>
          <w:b/>
          <w:bCs/>
          <w:lang w:val="el" w:eastAsia="el"/>
        </w:rPr>
        <w:t>ΚΕΦΑΛΑΙΟ Β’: ΧΡΟΝΟΣ ΦΟΡΟΛΟΓΙΑΣ (άρθρα 58 και 59)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▪ </w:t>
      </w:r>
      <w:r>
        <w:rPr>
          <w:b/>
          <w:bCs/>
          <w:lang w:val="el" w:eastAsia="el"/>
        </w:rPr>
        <w:t>ΚΕΦΑΛΑΙΟ Γ’: ΠΡΟΣΔΙΟΡΙΣΜΟΣ ΑΞΙΑΣ ΠΕΡΙΟΥΣΙΑΣ (άρθρα 60- 70)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▪ </w:t>
      </w:r>
      <w:r>
        <w:rPr>
          <w:b/>
          <w:bCs/>
          <w:lang w:val="el" w:eastAsia="el"/>
        </w:rPr>
        <w:t>ΚΕΦΑΛΑΙΟ Δ’: ΕΚΠΤΩΣΗ ΧΡΕΩΝ, ΒΑΡΩΝ ΚΑΙ ΚΛΗΡΟΔΟΤΗΜΑΤΩΝ (άρθρα 71- 74)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▪ </w:t>
      </w:r>
      <w:r>
        <w:rPr>
          <w:b/>
          <w:bCs/>
          <w:lang w:val="el" w:eastAsia="el"/>
        </w:rPr>
        <w:t>ΚΕΦΑΛΑΙΟ Ε’: ΑΠΑΛΛΑΓΕΣ ΑΠΟ ΤΟΝ ΦΟΡΟ (άρθρα 75 και 76)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▪ </w:t>
      </w:r>
      <w:r>
        <w:rPr>
          <w:b/>
          <w:bCs/>
          <w:lang w:val="el" w:eastAsia="el"/>
        </w:rPr>
        <w:t>ΚΕΦΑΛΑΙΟ ΣΤ’: ΒΑΣΗ ΥΠΟΛΟΓΙΣΜΟΥ ΚΑΙ ΕΚΠΤΩΣΕΙΣ ΑΠΟ ΤΟΝ ΦΟΡΟ (άρθρα 77- 83)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▪ </w:t>
      </w:r>
      <w:r>
        <w:rPr>
          <w:b/>
          <w:bCs/>
          <w:lang w:val="el" w:eastAsia="el"/>
        </w:rPr>
        <w:t>ΚΕΦΑΛΑΙΟ Ζ’: YΠΟΒΟΛΗ ΔΗΛΩΣΗΣ- ΚΑΤΑΒΟΛΗ ΦΟΡΟΥ (άρθρα 8487)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o </w:t>
      </w:r>
      <w:r>
        <w:rPr>
          <w:b/>
          <w:bCs/>
          <w:lang w:val="el" w:eastAsia="el"/>
        </w:rPr>
        <w:t>ΤΜΗΜΑ ΙΙ: ΦΟΡΟΣ ΔΩΡΕΩΝ ΚΑΙ ΓΟΝΙΚΩΝ ΠΑΡΟΧΩΝ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▪ </w:t>
      </w:r>
      <w:r>
        <w:rPr>
          <w:b/>
          <w:bCs/>
          <w:lang w:val="el" w:eastAsia="el"/>
        </w:rPr>
        <w:t>ΚΕΦΑΛΑΙΟ Α’: ΠΕΔΙΟ ΕΦΑΡΜΟΓΗΣ (άρθρα 88- 91)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▪ </w:t>
      </w:r>
      <w:r>
        <w:rPr>
          <w:b/>
          <w:bCs/>
          <w:lang w:val="el" w:eastAsia="el"/>
        </w:rPr>
        <w:t>ΚΕΦΑΛΑΙΟ Β’: ΧΡΟΝΟΣ ΦΟΡΟΛΟΓΙΑΣ (άρθρα 92 και 93)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▪ </w:t>
      </w:r>
      <w:r>
        <w:rPr>
          <w:b/>
          <w:bCs/>
          <w:lang w:val="el" w:eastAsia="el"/>
        </w:rPr>
        <w:t>ΚΕΦΑΛΑΙΟ Γ’: ΠΡΟΣΔΙΟΡΙΣΜΟΣ ΑΞΙΑΣ ΠΕΡΙΟΥΣΙΑΣ (άρθρο 94)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▪ </w:t>
      </w:r>
      <w:r>
        <w:rPr>
          <w:b/>
          <w:bCs/>
          <w:lang w:val="el" w:eastAsia="el"/>
        </w:rPr>
        <w:t>ΚΕΦΑΛΑΙΟ Δ’: ΑΚΥΡΩΣΗ- ΑΝΑΚΛΗΣΗ ΔΩΡΕΑΣ ΚΑΙ ΓΟΝΙΚΗΣ ΠΑΡΟΧΗΣ (άρθρο 95)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▪ </w:t>
      </w:r>
      <w:r>
        <w:rPr>
          <w:b/>
          <w:bCs/>
          <w:lang w:val="el" w:eastAsia="el"/>
        </w:rPr>
        <w:t>ΚΕΦΑΛΑΙΟ Ε’: ΑΠΑΛΛΑΓΕΣ ΑΠΟ ΤΟΝ ΦΟΡΟ (άρθρα 96 και 97)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▪ </w:t>
      </w:r>
      <w:r>
        <w:rPr>
          <w:b/>
          <w:bCs/>
          <w:lang w:val="el" w:eastAsia="el"/>
        </w:rPr>
        <w:t>ΚΕΦΑΛΑΙΟ ΣΤ’: ΥΠΟΛΟΓΙΣΜΟΣ ΤΟΥ ΦΟΡΟΥ, ΥΠΟΒΟΛΗ ΔΗΛΩΣΗΣ ΚΑΙ ΛΟΙΠΕΣ ΔΙΑΤΑΞΕΙΣ (άρθρα 98- 101)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o </w:t>
      </w:r>
      <w:r>
        <w:rPr>
          <w:b/>
          <w:bCs/>
          <w:lang w:val="el" w:eastAsia="el"/>
        </w:rPr>
        <w:t>ΤΜΗΜΑ ΙΙΙ: ΚΟΙΝΕΣ ΚΑΙ ΚΑΤΑ ΠΕΡΙΠΤΩΣΗ ΕΦΑΡΜΟΖΟΜΕΝΕΣ ΔΙΑΤΑΞΕΙΣ ΣΤΟΝ ΦΟΡΟ ΚΛΗΡΟΝΟΜΙΩΝ, ΔΩΡΕΩΝ ΚΑΙ ΓΟΝΙΚΩΝ ΠΑΡΟΧΩΝ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▪ </w:t>
      </w:r>
      <w:r>
        <w:rPr>
          <w:b/>
          <w:bCs/>
          <w:lang w:val="el" w:eastAsia="el"/>
        </w:rPr>
        <w:t>ΚΕΦΑΛΑΙΟ Α’: ΠΙΣΤΟΠΟΙΗΤΙΚΟ ΚΑΙ ΣΧΕΤΙΚΕΣ ΥΠΟΧΡΕΩΣΕΙΣ (άρθρα 102- 105)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▪ </w:t>
      </w:r>
      <w:r>
        <w:rPr>
          <w:b/>
          <w:bCs/>
          <w:lang w:val="el" w:eastAsia="el"/>
        </w:rPr>
        <w:t>ΚΕΦΑΛΑΙΟ Β’: ΥΠΟΧΡΕΩΣΕΙΣ ΣΥΜΒΟΛΑΙΟΓΡΑΦΩΝ, ΠΡΟΪΣΤΑΜΕΝΩΝ ΚΤΗΜΑΤΟΛΟΓΙΚΩΝ ΓΡΑΦΕΙΩΝ, ΔΗΜΟΣΙΩΝ ΑΡΧΩΝ ΚΑΙ ΤΡΙΤΩΝ ΠΡΟΣΩΠΩΝ (άρθρα 106- 111)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▪ </w:t>
      </w:r>
      <w:r>
        <w:rPr>
          <w:b/>
          <w:bCs/>
          <w:lang w:val="el" w:eastAsia="el"/>
        </w:rPr>
        <w:t>ΚΕΦΑΛΑΙΟ Γ’: ΛΟΙΠΕΣ ΚΟΙΝΕΣ ΔΙΑΤΑΞΕΙΣ (άρθρα 112- 114)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▪ </w:t>
      </w:r>
      <w:r>
        <w:rPr>
          <w:b/>
          <w:bCs/>
          <w:lang w:val="el" w:eastAsia="el"/>
        </w:rPr>
        <w:t>ΚΕΦΑΛΑΙΟ Δ’: ΜΕΤΑΒΑΤΙΚΕΣ ΔΙΑΤΑΞΕΙΣ (άρθρο 115)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o </w:t>
      </w:r>
      <w:r>
        <w:rPr>
          <w:b/>
          <w:bCs/>
          <w:lang w:val="el" w:eastAsia="el"/>
        </w:rPr>
        <w:t>ΤΜΗΜΑ ΙV: ΦΟΡΟΣ ΚΕΡΔΩΝ ΑΠΟ ΤΥΧΕΡΑ ΠΑΙΓΝΙΑ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▪ </w:t>
      </w:r>
      <w:r>
        <w:rPr>
          <w:b/>
          <w:bCs/>
          <w:lang w:val="el" w:eastAsia="el"/>
        </w:rPr>
        <w:t>ΚΕΦΑΛΑΙΟ Α’: ΠΕΔΙΟ ΕΦΑΡΜΟΓΗΣ (άρθρα 116 και 117)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▪ </w:t>
      </w:r>
      <w:r>
        <w:rPr>
          <w:b/>
          <w:bCs/>
          <w:lang w:val="el" w:eastAsia="el"/>
        </w:rPr>
        <w:t>ΚΕΦΑΛΑΙΟ Β’: ΧΡΟΝΟΣ ΦΟΡΟΛΟΓΙΑΣ ΚΑΙ ΑΠΑΛΛΑΓΕΣ ΑΠΟ ΤΟΝ ΦΟΡΟ (άρθρα 118 και 119)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▪ </w:t>
      </w:r>
      <w:r>
        <w:rPr>
          <w:b/>
          <w:bCs/>
          <w:lang w:val="el" w:eastAsia="el"/>
        </w:rPr>
        <w:t>ΚΕΦΑΛΑΙΟ Γ’: ΥΠΟΛΟΓΙΣΜΟΣ ΤΟΥ ΦΟΡΟΥ, ΥΠΟΒΟΛΗ ΔΗΛΩΣΗΣ, ΠΑΡΑΚΡΑΤΗΣΗ ΤΟΥ ΦΟΡΟΥ ΚΑΙ ΛΟΙΠΕΣ ΔΙΑΤΑΞΕΙΣ (άρθρα 120122)</w:t>
      </w:r>
    </w:p>
    <w:p>
      <w:pPr>
        <w:pStyle w:val="enacting"/>
        <w:spacing w:before="120" w:after="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ΜΕΡΟΣ Γ’: ΤΕΛΙΚΕΣ ΚΑΙ ΚΑΤΑΡΓΟΥΜΕΝΕΣ ΔΙΑΤΑΞΕΙΣ (άρθρα 123 και 124)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των διατάξεων του δεύτερου άρθρου του ν. 5219/2025, το οποίο αφορά στην έναρξη ισχύος των διατάξεων αυτού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του παραρτήματος κωδικοποιητικών και κωδικοποιούμενων διατάξεων.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 ΠΕΔΙΟ ΕΦΑΡΜΟΓΗΣ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Το πρώτο άρθρο αφορά φυσικά και νομικά πρόσωπα/οντότητες, υποκείμενους στους φόρους που ρυθμίζονται από τους κωδικοποιούμενους νόμους, καθώς και τις υπηρεσίες της Φορολογικής Διοίκησης.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Το δεύτερο άρθρο αφορά στην έναρξη ισχύος των διατάξεων του ν. 5219/2025.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Το παράρτημα περιέχει κωδικοποιητικές και κωδικοποιούμενες διατάξεις.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Σας κοινοποιούμε συνημμένα για ενημέρωση και εφαρμογή τις διατάξεις του ν. 5219/2025 (Α’ 130) «Κώδικας Φορολογίας Περιουσίας», ως εξής: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πρώτο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«Κύρωση Κώδικα Φορολογίας Περιουσίας»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το πρώτο άρθρο του κοινοποιούμενου νόμου κυρώθηκε με τη διαδικασία της παρ. 6 του άρθρου 76 του Συντάγματος ο Κώδικας Φορολογίας Περιουσίας, ο οποίος διαρθρώνεται ως εξής: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ΒΙΒΛΙΟ ΠΡΩΤΟ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ΠΕΡΙΟΥΣΙΟΛΟΓΙΟ ΚΑΙ ΦΟΡΟΛΟΓΗΤΕΑ ΑΞΙΑ ΑΚΙΝΗΤΩΝ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Ι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ΠΕΡΙΟΥΣΙΟΛΟΓΙΟ ΚΑΙ ΔΗΛΩΣΗ ΣΤΟΙΧΕΙΩΝ ΑΚΙΝΗΤΩΝ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Περιουσιολόγιο Ακινήτων - Έννοια και περιεχόμενο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2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Υπόχρεοι και χρόνος υποβολής δήλωσης στοιχείων ακινήτων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ΙΙ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ΠΡΟΣΔΙΟΡΙΣΜΟΣ ΦΟΡΟΛΟΓΗΤΕΑΣ ΑΞΙΑΣ ΑΚΙΝΗΤΩΝ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3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Προσδιορισμός αγοραίας αξίας ακινήτων εκτός συστήματος Αντικειμενικού Προσδιορισμού Αξίας Ακινήτων (Α.Π.Α.Α.)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4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Προσδιορισμός αξίας ακινήτων με βάση το σύστημα Αντικειμενικού Προσδιορισμού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Αξίας Ακινήτων (Α.Π.Α.Α.)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5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Μικτό σύστημα προσδιορισμού αξίας ακινήτων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6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Προσδιορισμός αξίας ακινήτων για την επιβολή του Ενιαίου Φόρου Ιδιοκτησίας Ακινήτων (ΕΝ.Φ.Ι.Α.)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ΙΙΙ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ΜΕΤΑΒΑΤΙΚΕΣ ΔΙΑΤΑΞΕΙΣ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7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Μεταβατικές διατάξεις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ΒΙΒΛΙΟ ΔΕΥΤΕΡΟ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ΦΟΡΟΛΟΓΙΑ ΕΠΙ ΤΗΣ ΙΔΙΟΚΤΗΣΙΑΣ ΑΚΙΝΗΤΗΣ ΠΕΡΙΟΥΣΙΑΣ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ΜΕΡΟΣ Α’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ΕΝΙΑΙΟΣ ΦΟΡΟΣ ΙΔΙΟΚΤΗΣΙΑΣ ΑΚΙΝΗΤΩΝ</w:t>
      </w:r>
    </w:p>
    <w:p>
      <w:pPr>
        <w:pStyle w:val="Heading2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Ι</w:t>
      </w:r>
    </w:p>
    <w:p>
      <w:pPr>
        <w:pStyle w:val="Heading2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ΠΕΔΙΟ ΕΦΑΡΜΟΓΗΣ ΚΑΙ ΑΠΑΛΛΑΓΕΣ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8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Αντικείμενο του φόρου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9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Υποκείμενο του φόρου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10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Απαλλαγές από τον φόρο</w:t>
      </w:r>
    </w:p>
    <w:p>
      <w:pPr>
        <w:pStyle w:val="Heading2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ΙΙ</w:t>
      </w:r>
    </w:p>
    <w:p>
      <w:pPr>
        <w:pStyle w:val="Heading2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ΒΑΣΗ ΥΠΟΛΟΓΙΣΜΟΥ ΚΑΙ ΕΚΠΤΩΣΕΙΣ ΑΠΟ ΤΟΝ ΦΟΡΟ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11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Υπολογισμός του κύριου φόρου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12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Υπολογισμός του συμπληρωματικού φόρου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13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Χορήγηση εκπτώσεων</w:t>
      </w:r>
    </w:p>
    <w:p>
      <w:pPr>
        <w:pStyle w:val="Heading2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ΙΙI</w:t>
      </w:r>
    </w:p>
    <w:p>
      <w:pPr>
        <w:pStyle w:val="Heading2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ΠΡΟΣΔΙΟΡΙΣΜΟΣ, ΚΑΤΑΒΟΛΗ ΚΑΙ ΑΝΑΣΤΟΛΗ ΚΑΤΑΒΟΛΗΣ ΤΟΥ ΦΟΡΟΥ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14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Προσδιορισμός του φόρου και χρόνος υποβολής δήλωσης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15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Καταβολή του φόρου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16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Αναστολή καταβολής του φόρου</w:t>
      </w:r>
    </w:p>
    <w:p>
      <w:pPr>
        <w:pStyle w:val="Heading2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ΙV</w:t>
      </w:r>
    </w:p>
    <w:p>
      <w:pPr>
        <w:pStyle w:val="Heading2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ΜΕΤΑΒΑΤΙΚΕΣ ΔΙΑΤΑΞΕΙΣ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17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Μεταβατικές διατάξεις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ΜΕΡΟΣ Β’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ΕΙΔΙΚΟΣ ΦΟΡΟΣ ΕΠΙ ΤΩΝ ΑΚΙΝΗΤΩΝ</w:t>
      </w:r>
    </w:p>
    <w:p>
      <w:pPr>
        <w:pStyle w:val="Heading2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Ι</w:t>
      </w:r>
    </w:p>
    <w:p>
      <w:pPr>
        <w:pStyle w:val="Heading2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ΠΕΔΙΟ ΕΦΑΡΜΟΓΗΣ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18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Αντικείμενο, υποκείμενο και προσδιορισμός του φόρου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19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Χρόνος γένεσης της φορολογικής υποχρέωσης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20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Ευθύνη παρένθετων προσώπων</w:t>
      </w:r>
    </w:p>
    <w:p>
      <w:pPr>
        <w:pStyle w:val="Heading2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ΙΙ</w:t>
      </w:r>
    </w:p>
    <w:p>
      <w:pPr>
        <w:pStyle w:val="Heading2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ΔΗΛΩΣΗ ΚΑΙ ΚΑΤΑΒΟΛΗ ΤΟΥ ΦΟΡΟΥ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21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Υποβολή δήλωσης και καταβολή του φόρου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ΒΙΒΛΙΟ ΤΡΙΤΟ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ΦΟΡΟΛΟΓΙΑ ΜΕΤΑΒΙΒΑΣΗΣ ΑΚΙΝΗΤΗΣ ΚΑΙ ΚΙΝΗΤΗΣ ΠΕΡΙΟΥΣΙΑΣ ΜΕΡΟΣ Α’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ΦΟΡΟΣ ΜΕΤΑΒΙΒΑΣΗΣ ΑΚΙΝΗΤΩΝ ΚΑΙ ΠΛΟΙΩΝ</w:t>
      </w:r>
    </w:p>
    <w:p>
      <w:pPr>
        <w:pStyle w:val="Heading2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Ι</w:t>
      </w:r>
    </w:p>
    <w:p>
      <w:pPr>
        <w:pStyle w:val="Heading2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ΠΕΔΙΟ ΕΦΑΡΜΟΓΗΣ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22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Αντικείμενο του φόρου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23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Έννοια ακινήτου και πλοίου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24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Υποκείμενο του φόρου</w:t>
      </w:r>
    </w:p>
    <w:p>
      <w:pPr>
        <w:pStyle w:val="Heading2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ΙΙ</w:t>
      </w:r>
    </w:p>
    <w:p>
      <w:pPr>
        <w:pStyle w:val="Heading2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ΒΑΣΗ ΥΠΟΛΟΓΙΣΜΟΥ, ΥΠΟΒΟΛΗ ΔΗΛΩΣΗΣ ΚΑΙ ΚΑΤΑΒΟΛΗ ΤΟΥ ΦΟΡΟΥ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25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Φορολογητέα αξία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26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Χρόνος γένεσης φορολογικής υποχρέωσης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27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Φορολογικοί συντελεστές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28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Υποβολή δήλωσης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29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Καταβολή του φόρου</w:t>
      </w:r>
    </w:p>
    <w:p>
      <w:pPr>
        <w:pStyle w:val="Heading2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ΙΙI</w:t>
      </w:r>
    </w:p>
    <w:p>
      <w:pPr>
        <w:pStyle w:val="Heading2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ΕΙΔΙΚΕΣ ΠΕΡΙΠΤΩΣΕΙΣ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30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Επανάληψη και διόρθωση συμβολαίου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31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Μεταβίβαση ακινήτου με επιφάνεια μεγαλύτερη της κτηθείσας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32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Τεκμήριο αποπερατωμένου κτίσματος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33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Μεταβίβαση ακινήτου σε εργολάβο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34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Διπλή μεταβίβαση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35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Καταβολή του φόρου κατά τη μεταγραφή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καταχώριση στο νηολόγιο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36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Προσδιορισμός του φόρου κατά την κατακύρωση σε συγκύριο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37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Καταβολή του φόρου λόγω επίκλησης χρησικτησίας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38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Οριστικοποίηση προσυμφώνων χωρίς πιστοποιητικά</w:t>
      </w:r>
    </w:p>
    <w:p>
      <w:pPr>
        <w:pStyle w:val="Heading2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IV</w:t>
      </w:r>
    </w:p>
    <w:p>
      <w:pPr>
        <w:pStyle w:val="Heading2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ΑΠΑΛΛΑΓΕΣ ΑΠΟ ΤΟΝ ΦΟΡΟ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ΚΕΦΑΛΑΙΟ Α’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ΓΕΝΙΚΕΣ ΑΠΑΛΛΑΓΕΣ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39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Πεδίο εφαρμογής απαλλαγών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ΚΕΦΑΛΑΙΟ Β’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ΕΙΔΙΚΗ ΑΠΑΛΛΑΓΗ ΓΙΑ ΑΓΟΡΑ ΠΡΩΤΗΣ ΚΑΤΟΙΚΙΑΣ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40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Πεδίο εφαρμογής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41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Ύψος απαλλαγής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42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Δικαιούχοι απαλλαγής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43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Χορήγηση απαλλαγής για νέα αγορά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44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Άρση απαλλαγής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45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Απαλλαγή για αγορά στη Θράκη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ΚΕΦΑΛΑΙΟ Γ’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ΕΙΔΙΚΗ ΑΓΡΟΤΙΚΗ ΑΠΑΛΛΑΓΗ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46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Πεδίο εφαρμογής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47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Άρση απαλλαγής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48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Ειδικές υποχρεώσεις συμβολαιογράφων</w:t>
      </w:r>
    </w:p>
    <w:p>
      <w:pPr>
        <w:pStyle w:val="Heading2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V</w:t>
      </w:r>
    </w:p>
    <w:p>
      <w:pPr>
        <w:pStyle w:val="Heading2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ΕΙΔΙΚΕΣ ΠΕΡΙΠΤΩΣΕΙΣ ΕΠΙΣΤΡΟΦΗΣ ΤΟΥ ΦΟΡΟΥ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49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Ειδικές περιπτώσεις και διαδικασία επιστροφής του φόρου</w:t>
      </w:r>
    </w:p>
    <w:p>
      <w:pPr>
        <w:pStyle w:val="Heading2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VI</w:t>
      </w:r>
    </w:p>
    <w:p>
      <w:pPr>
        <w:pStyle w:val="Heading2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ΥΠΟΧΡΕΩΣΕΙΣ ΣΥΜΒΟΛΑΙΟΓΡΑΦΩΝ, ΠΡΟΪΣΤΑΜΕΝΩΝ ΚΤΗΜΑΤΟΛΟΓΙΚΩΝ ΓΡΑΦΕΙΩΝ KAI ΔΗΜΟΣΙΩΝ ΑΡΧΩΝ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50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Υποχρεώσεις συμβολαιογράφων - Προϊσταμένων Κτηματολογικών Γραφείων Άρθρο 51 Κυρώσεις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52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Υποχρεώσεις δημοσίων αρχών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ΜΕΡΟΣ Β’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ΦΟΡΟΣ ΚΛΗΡΟΝΟΜΙΩΝ, ΔΩΡΕΩΝ, ΓΟΝΙΚΩΝ ΠΑΡΟΧΩΝ ΚΑΙ ΚΕΡΔΩΝ ΑΠΟ ΤΥΧΕΡΑ ΠΑΙΓΝΙΑ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53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Γενικό πεδίο εφαρμογής</w:t>
      </w:r>
    </w:p>
    <w:p>
      <w:pPr>
        <w:pStyle w:val="Heading2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Ι</w:t>
      </w:r>
    </w:p>
    <w:p>
      <w:pPr>
        <w:pStyle w:val="Heading2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ΦΟΡΟΣ ΚΛΗΡΟΝΟΜΙΩΝ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ΚΕΦΑΛΑΙΟ Α’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ΠΕΔΙΟ ΕΦΑΡΜΟΓΗΣ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54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Έννοια και περιεχόμενο της κτήσης αιτία θανάτου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55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Περιουσία που υποβάλλεται σε φόρο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56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Υποκείμενο του φόρου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57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Συνυπολογισμός δωρεών και γονικών παροχών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ΚΕΦΑΛΑΙΟ Β’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ΧΡΟΝΟΣ ΦΟΡΟΛΟΓΙΑΣ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58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Χρόνος γένεσης φορολογικής υποχρέωσης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59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Μετάθεση του χρόνου γένεσης της φορολογικής υποχρέωσης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ΚΕΦΑΛΑΙΟ Γ’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ΠΡΟΣΔΙΟΡΙΣΜΟΣ ΑΞΙΑΣ ΠΕΡΙΟΥΣΙΑΣ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60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Χρόνος και τρόπος προσδιορισμού αξίας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61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Αξία απαιτήσεων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62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Αξία τίτλων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63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Αξία επίπλων και λοιπών κινητών αντικειμένων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64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Αξία παροχών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65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Αξία επικαρπίας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66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Αξία και τρόπος φορολογίας της ψιλής κυριότητας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67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Αξία και τρόπος φορολογίας του καταπιστεύματος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68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Αξία και τρόπος φορολογίας των περιουσιακών στοιχείων που έχουν απαλλοτριωθεί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ή υποστεί ζημία μετά την κτήση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69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Φορολογία των αδιαίρετων ή ενωμένων λογαριασμών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70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Φορολογία των περιουσιακών στοιχείων που παραχωρούνται στο Ελληνικό Δημόσιο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ΚΕΦΑΛΑΙΟ Δ’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ΕΚΠΤΩΣΗ ΧΡΕΩΝ, ΒΑΡΩΝ ΚΑΙ ΚΛΗΡΟΔΟΤΗΜΑΤΩΝ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71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Έκπτωση χρεών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72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Έκπτωση βαρών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73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Έκπτωση κληροδοτημάτων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74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Επιμερισμός χρεών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ΚΕΦΑΛΑΙΟ Ε’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ΑΠΑΛΛΑΓΕΣ ΑΠΟ ΤΟΝ ΦΟΡΟ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75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Γενικές απαλλαγές από τον φόρο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76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Ειδική απαλλαγή από τον φόρο για κτήση πρώτης κατοικίας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ΚΕΦΑΛΑΙΟ 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ΣΤ 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ΒΑΣΗ ΥΠΟΛΟΓΙΣΜΟΥ ΚΑΙ ΕΚΠΤΩΣΕΙΣ ΑΠΟ ΤΟΝ ΦΟΡΟ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77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Υπολογισμός του φορολογητέου ποσού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78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Κατάταξη των φορολογουμένων σε κατηγορίες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79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Φορολογικές κλίμακες και ειδικές περιπτώσεις υπολογισμού του φόρου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80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Υπολογισμός του φόρου σε περίπτωση αποποίησης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81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Προσδιορισμός του φόρου σε σχολάζουσα κληρονομιά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82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Έκπτωση φόρου συνυπολογιζόμενων δωρεών και γονικών παροχών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83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Έκπτωση φόρου αλλοδαπής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ΚΕΦΑΛΑΙΟ Ζ’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ΥΠΟΒΟΛΗ ΔΗΛΩΣΗΣ - ΚΑΤΑΒΟΛΗ ΦΟΡΟΥ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84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Υπόχρεοι υποβολής δήλωσης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85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Προθεσμίες υποβολής δήλωσης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86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Έναρξη προθεσμίας υποβολής δήλωσης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87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Καταβολή του φόρου</w:t>
      </w:r>
    </w:p>
    <w:p>
      <w:pPr>
        <w:pStyle w:val="Heading2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ΙΙ</w:t>
      </w:r>
    </w:p>
    <w:p>
      <w:pPr>
        <w:pStyle w:val="Heading2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ΦΟΡΟΣ ΔΩΡΕΩΝ ΚΑΙ ΓΟΝΙΚΩΝ ΠΑΡΟΧΩΝ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ΚΕΦΑΛΑΙΟ Α’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ΠΕΔΙΟ ΕΦΑΡΜΟΓΗΣ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88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Έννοια και περιεχόμενο της κτήσης αιτία δωρεάς και γονικής παροχής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89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Περιουσία που υποβάλλεται σε φόρο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90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Υποκείμενο του φόρου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91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Συνυπολογισμός προγενέστερων δωρεών και γονικών παροχών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ΚΕΦΑΛΑΙΟ Β’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ΧΡΟΝΟΣ ΦΟΡΟΛΟΓΙΑΣ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92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Χρόνος γένεσης φορολογικής υποχρέωσης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93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Μετάθεση του χρόνου γένεσης της φορολογικής υποχρέωσης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ΚΕΦΑΛΑΙΟ Γ’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ΠΡΟΣΔΙΟΡΙΣΜΟΣ ΑΞΙΑΣ ΠΕΡΙΟΥΣΙΑΣ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94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Αξία περιουσιακών στοιχείων - Εκπτώσεις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ΚΕΦΑΛΑΙΟ Δ’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ΑΚΥΡΩΣΗ - ΑΝΑΚΛΗΣΗ ΔΩΡΕΑΣ ΚΑΙ ΓΟΝΙΚΗΣ ΠΑΡΟΧΗΣ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95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Τρόπος φορολόγησης λόγω ακύρωσης ή ανάκλησης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ΚΕΦΑΛΑΙΟ Ε’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ΑΠΑΛΛΑΓΕΣ ΑΠΟ ΤΟΝ ΦΟΡΟ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96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Ειδική απαλλαγή από τον φόρο για την κτήση πρώτης κατοικίας αιτία γονικής παροχής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97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Ειδικές και λοιπές απαλλαγές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ΚΕΦΑΛΑΙΟ ΣΤ’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ΥΠΟΛΟΓΙΣΜΟΣ ΤΟΥ ΦΟΡΟΥ, ΥΠΟΒΟΛΗ ΔΗΛΩΣΗΣ ΚΑΙ ΛΟΙΠΕΣ ΔΙΑΤΑΞΕΙΣ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98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Υπολογισμός του φόρου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99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Υπόχρεοι υποβολής δήλωσης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100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Προθεσμίες υποβολής δήλωσης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101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Ανάλογη εφαρμογή διατάξεων</w:t>
      </w:r>
    </w:p>
    <w:p>
      <w:pPr>
        <w:pStyle w:val="Heading2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III</w:t>
      </w:r>
    </w:p>
    <w:p>
      <w:pPr>
        <w:pStyle w:val="Heading2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ΚΟΙΝΕΣ ΚΑΙ ΚΑΤΑ ΠΕΡΙΠΤΩΣΗ ΕΦΑΡΜΟΖΟΜΕΝΕΣ ΔΙΑΤΑΞΕΙΣ ΣΤΟΝ ΦΟΡΟ ΚΛΗΡΟΝΟΜΙΩΝ,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ΔΩΡΕΩΝ ΚΑΙ ΓΟΝΙΚΩΝ ΠΑΡΟΧΩΝ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ΚΕΦΑΛΑΙΟ Α’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ΠΙΣΤΟΠΟΙΗΤΙΚΟ ΚΑΙ ΣΧΕΤΙΚΕΣ ΥΠΟΧΡΕΩΣΕΙΣ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102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Πιστοποιητικό της Φορολογικής Διοίκησης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103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Υποχρεώσεις δημοσίων αρχών σχετικά με το πιστοποιητικό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104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Υποχρεώσεις τρίτων σχετικά με το πιστοποιητικό - Λοιπές υποχρεώσεις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105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Παραχώρηση υποθήκης χωρίς πιστοποιητικό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ΚΕΦΑΛΑΙΟ Β’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ΥΠΟΧΡΕΩΣΕΙΣ ΣΥΜΒΟΛΑΙΟΓΡΑΦΩΝ, ΠΡΟΪΣΤΑΜΕΝΩΝ ΚΤΗΜΑΤΟΛΟΓΙΚΩΝ ΓΡΑΦΕΙΩΝ, ΔΗΜΟΣΙΩΝ ΑΡΧΩΝ ΚΑΙ ΤΡΙΤΩΝ ΠΡΟΣΩΠΩΝ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106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Υποχρεώσεις συμβολαιογράφων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107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Ειδικές υποχρεώσεις δημοσίων αρχών και συμβολαιογράφων για παροχή στοιχείων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108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Υποχρεώσεις τρίτων σχετικά με θυρίδες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109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Υποχρεώσεις προσώπων σε περίπτωση ανοίγματος αδιαίρετου ή ενωμένου λογαριασμού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110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Αποσφράγιση και απογραφή περιουσιακών στοιχείων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111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Ειδικές υποχρεώσεις των δανειστών κληρονομίας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ΚΕΦΑΛΑΙΟ Γ’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ΛΟΙΠΕΣ ΚΟΙΝΕΣ ΔΙΑΤΑΞΕΙΣ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112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Υπολογισμός δικαιωμάτων μεταγραφής τίτλων και εκτίμηση αξίας από πιστοποιημένο εκτιμητή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113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Φορολογία υποθέσεων με διαφορετικό φορολογικό καθεστώς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114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Ακυρότητα ιδιωτικών αντεγγράφων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ΚΕΦΑΛΑΙΟ Δ’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ΜΕΤΑΒΑΤΙΚΕΣ ΔΙΑΤΑΞΕΙΣ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115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Μεταβατικές διατάξεις</w:t>
      </w:r>
    </w:p>
    <w:p>
      <w:pPr>
        <w:pStyle w:val="Heading2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ΙV</w:t>
      </w:r>
    </w:p>
    <w:p>
      <w:pPr>
        <w:pStyle w:val="Heading2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ΦΟΡΟΣ ΚΕΡΔΩΝ ΑΠΟ ΤΥΧΕΡΑ ΠΑΙΓΝΙΑ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ΚΕΦΑΛΑΙΟ Α’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ΠΕΔΙΟ ΕΦΑΡΜΟΓΗΣ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116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Αντικείμενο του φόρου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117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Υποκείμενο του φόρου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ΚΕΦΑΛΑΙΟ Β’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ΧΡΟΝΟΣ ΦΟΡΟΛΟΓΙΑΣ ΚΑΙ ΑΠΑΛΛΑΓΕΣ ΑΠΟ ΤΟΝ ΦΟΡΟ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118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Χρόνος γένεσης φορολογικής υποχρέωσης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119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Απαλλαγές από τον φόρο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ΚΕΦΑΛΑΙΟ </w:t>
      </w:r>
    </w:p>
    <w:p>
      <w:pPr>
        <w:pStyle w:val="Heading3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ΥΠΟΛΟΓΙΣΜΟΣ ΤΟΥ ΦΟΡΟΥ, ΥΠΟΒΟΛΗ ΔΗΛΩΣΗΣ, ΠΑΡΑΚΡΑΤΗΣΗ ΤΟΥ ΦΟΡΟΥ ΚΑΙ ΛΟΙΠΕΣ ΔΙΑΤΑΞΕΙΣ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120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Υπολογισμός του φόρου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121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Υπόχρεοι και προθεσμία υποβολής δήλωσης - Παρακράτηση φόρου και αναλογική εφαρμογή διατάξεων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122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Φορολόγηση αδιάθετων ποσών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ΜΕΡΟΣ Γ’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ΤΕΛΙΚΕΣ ΚΑΙ ΚΑΤΑΡΓΟΥΜΕΝΕΣ ΔΙΑΤΑΞΕΙΣ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123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Τελικές διατάξεις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124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Καταργούμενες διατάξεις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δεύτερο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«Έναρξη ισχύος»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ΠΑΡΑΡΤΗΜΑ ΚΩΔΙΚΟΠΟΙΗΤΙΚΩΝ ΚΑΙ ΚΩΔΙΚΟΠΟΙΟΥΜΕΝΩΝ ΔΙΑΤΑΞΕΩΝ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το δεύτερο άρθρο του κοινοποιούμενου νόμου ορίζεται ότι η ισχύς αυτού αρχίζει από την δημοσίευσή του στην Εφημερίδα της Κυβερνήσεως, ήτοι από 18/7/2025.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Το παράρτημα του κοινοποιούμενου νόμου περιέχει πίνακα κωδικοποιητικών και κωδικοποιούμενων διατάξεων.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Συνημμένο: ΦΕΚ Α’ 130/2025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Αποδέκτες Πίνακα Γ’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Στρατηγικής Τεχνολογιών Πληροφορικής (με την παράκληση να αναρτηθεί στην ιστοσελίδα της Α.Α.Δ.Ε. και την Ηλεκτρονική Βιβλιοθήκη ΑΑΔΕ)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Υπουργού Εθνικής Οικονομίας και Οικονομικών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Υφυπουργού Εθνικής Οικονομίας και Οικονομικών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Γενικού Γραμματέα Φορολογικής Πολιτικής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Αποδέκτες Πίνακα Α΄(περ. 1 &amp; 4)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5.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Αποδέκτες Πίνακα Β΄(περ.1 &amp; 3)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6.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Αποδέκτες Πίνακα Η΄ (περ. 1-3 &amp; 5- 9)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7.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Αποδέκτες Πίνακα Ι΄, ΙΑ΄, ΚΑ΄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Διοικητή Ανεξάρτητης Αρχής Δημοσίων Εσόδων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Προϊσταμένου Γενικής Διεύθυνσης Φορολογίας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Προϊσταμένου Γενικής Διεύθυνσης Φορολογικών Λειτουργιών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Επικοινωνίας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5.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Νομικής Υποστήριξης της ΑΑΔΕ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6.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Εφαρμογής Φορολογίας Κεφαλαίου και Περιουσιολογίου – Τμήματα Α΄ και Β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2">
    <w:name w:val="h2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3">
    <w:name w:val="h3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