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Αθήνα, 22/09/2025</w:t>
      </w:r>
    </w:p>
    <w:p>
      <w:pPr>
        <w:pStyle w:val="PreambelText"/>
        <w:spacing w:before="240" w:after="240"/>
        <w:rPr>
          <w:lang w:val="el" w:eastAsia="el"/>
        </w:rPr>
      </w:pPr>
      <w:r>
        <w:rPr>
          <w:lang w:val="el" w:eastAsia="el"/>
        </w:rPr>
        <w:t>Α. Π.: Ο3056 ΕΞ 2025</w:t>
      </w:r>
    </w:p>
    <w:p>
      <w:pPr>
        <w:pStyle w:val="PreambelText"/>
        <w:spacing w:before="240" w:after="240"/>
        <w:rPr>
          <w:lang w:val="el" w:eastAsia="el"/>
        </w:rPr>
      </w:pPr>
      <w:r>
        <w:rPr>
          <w:b/>
          <w:bCs/>
          <w:lang w:val="el" w:eastAsia="el"/>
        </w:rPr>
        <w:t>Αθήνα, 16 Σεπτεμβρίου 2025</w:t>
      </w:r>
    </w:p>
    <w:p>
      <w:pPr>
        <w:pStyle w:val="PreambelText"/>
        <w:spacing w:before="240" w:after="240"/>
        <w:rPr>
          <w:lang w:val="el" w:eastAsia="el"/>
        </w:rPr>
      </w:pPr>
      <w:r>
        <w:rPr>
          <w:b/>
          <w:bCs/>
          <w:lang w:val="el" w:eastAsia="el"/>
        </w:rPr>
        <w:t>ΠΡΟΣ: ΠΙΝΑΚΑ ΔΙΑΝΟΜΗΣ</w:t>
      </w:r>
    </w:p>
    <w:p>
      <w:pPr>
        <w:pStyle w:val="PreambelText"/>
        <w:spacing w:before="240" w:after="240"/>
        <w:rPr>
          <w:lang w:val="el" w:eastAsia="el"/>
        </w:rPr>
      </w:pPr>
      <w:r>
        <w:rPr>
          <w:b/>
          <w:bCs/>
          <w:lang w:val="el" w:eastAsia="el"/>
        </w:rPr>
        <w:t>ΘΕΜΑ: Κοινοποίηση των διατάξεων των άρθρων πρώτου και δεύτερου του ν. 5228/2025 (Α’</w:t>
      </w:r>
    </w:p>
    <w:p>
      <w:pPr>
        <w:pStyle w:val="PreambelText"/>
        <w:spacing w:before="240" w:after="240"/>
        <w:rPr>
          <w:lang w:val="el" w:eastAsia="el"/>
        </w:rPr>
      </w:pPr>
      <w:r>
        <w:rPr>
          <w:b/>
          <w:bCs/>
          <w:lang w:val="el" w:eastAsia="el"/>
        </w:rPr>
        <w:t>156) «Κύρωση της δι’ ανταλλαγής ρηματικών διακοινώσεων Συμφωνίας για τη συνέχιση εφαρμογής της Συμφωνίας μεταξύ της Κυβέρνησης της Ελληνικής Δημοκρατίας και της Κυβέρνησης των Ηνωμένων Αραβικών Εμιράτων για την αποφυγή της διπλής φορολογίας και την αποτροπή της φοροδιαφυγής αναφορικά με τους φόρους επί του εισοδήματος και επί του κεφαλαίου και του Πρωτοκόλλου αυτής».</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πρώτου και δεύτερου του ν. 5228/2025 (Α’ 156) «Κύρωση της δι’ ανταλλαγής ρηματικών διακοινώσεων Συμφωνίας για τη συνέχιση εφαρμογής της Συμφωνίας μεταξύ της Κυβέρνησης της Ελληνικής Δημοκρατίας και της Κυβέρνησης των Ηνωμένων Αραβικών Εμιράτων για την αποφυγή της διπλής φορολογίας και την αποτροπή της φοροδιαφυγής αναφορικά με τους φόρους επί του εισοδήματος και επί του κεφαλαίου και του Πρωτοκόλλου αυτής».</w:t>
      </w:r>
    </w:p>
    <w:p>
      <w:pPr>
        <w:pStyle w:val="PreambelText"/>
        <w:spacing w:before="240" w:after="24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5228/2025:</w:t>
      </w:r>
    </w:p>
    <w:p>
      <w:pPr>
        <w:pStyle w:val="PreambelText"/>
        <w:spacing w:before="240" w:after="240"/>
        <w:rPr>
          <w:lang w:val="el" w:eastAsia="el"/>
        </w:rPr>
      </w:pPr>
      <w:r>
        <w:rPr>
          <w:lang w:val="el" w:eastAsia="el"/>
        </w:rPr>
        <w:t xml:space="preserve">1. </w:t>
      </w:r>
      <w:r>
        <w:rPr>
          <w:b/>
          <w:bCs/>
          <w:lang w:val="el" w:eastAsia="el"/>
        </w:rPr>
        <w:t>Του άρθρου πρώτου «Κύρωση ρηματικών διακοινώσεων»</w:t>
      </w:r>
    </w:p>
    <w:p>
      <w:pPr>
        <w:pStyle w:val="PreambelText"/>
        <w:spacing w:before="240" w:after="240"/>
        <w:rPr>
          <w:lang w:val="el" w:eastAsia="el"/>
        </w:rPr>
      </w:pPr>
      <w:r>
        <w:rPr>
          <w:lang w:val="el" w:eastAsia="el"/>
        </w:rPr>
        <w:t xml:space="preserve">2. </w:t>
      </w:r>
      <w:r>
        <w:rPr>
          <w:b/>
          <w:bCs/>
          <w:lang w:val="el" w:eastAsia="el"/>
        </w:rPr>
        <w:t>Του άρθρου δεύτερου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Οι κοινοποιούμενες διατάξεις αφορούν τη συνέχιση της εφαρμογής της Συμφωνίας μεταξύ της Κυβέρνησης της Ελληνικής Δημοκρατίας και της Κυβέρνησης των Ηνωμένων Αραβικών Εμιράτων για την αποφυγή της διπλής φορολογίας και την αποτροπή της φοροδιαφυγής</w:t>
      </w:r>
    </w:p>
    <w:p>
      <w:pPr>
        <w:pStyle w:val="PreambelText"/>
        <w:spacing w:before="240" w:after="240"/>
        <w:rPr>
          <w:lang w:val="el" w:eastAsia="el"/>
        </w:rPr>
      </w:pPr>
      <w:r>
        <w:rPr>
          <w:b/>
          <w:bCs/>
          <w:lang w:val="el" w:eastAsia="el"/>
        </w:rPr>
        <w:t>αναφορικά με τους φόρους επί του εισοδήματος και επί του κεφαλαίου, η οποία υπογράφηκε στο Άμπου Ντάμπι, στις 18 Ιανουαρίου 2010, καθώς και του Πρωτοκόλλου που τροποποιεί τη Συμφωνία αυτή, το οποίο υπογράφηκε στην Αθήνα, στις 27 Ιουνίου 2013, που κυρώθηκαν με τον ν. 4234/2014 (Α’ 28), από την ημερομηνία λήξης αυτής σύμφωνα με το άρθρο 30 της Συμφωνίας, για αόριστο χρονικό διάστημα.</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πρώτου και δεύτερου του ν. 5228/2025 (Α’ 156) «Κύρωση της δι’ ανταλλαγής ρηματικών διακοινώσεων Συμφωνίας για τη συνέχιση εφαρμογής της Συμφωνίας μεταξύ της Κυβέρνησης της Ελληνικής Δημοκρατίας και της Κυβέρνησης των Ηνωμένων Αραβικών Εμιράτων για την αποφυγή της διπλής φορολογίας και την αποτροπή της φοροδιαφυγής αναφορικά με τους φόρους επί του εισοδήματος και επί του κεφαλαίου και του Πρωτοκόλλου αυτής», ως ακολούθως:</w:t>
      </w:r>
    </w:p>
    <w:p>
      <w:pPr>
        <w:pStyle w:val="Heading6"/>
        <w:spacing w:before="240" w:after="240"/>
        <w:rPr>
          <w:lang w:val="el" w:eastAsia="el"/>
        </w:rPr>
      </w:pPr>
      <w:r>
        <w:rPr>
          <w:b/>
          <w:bCs/>
          <w:lang w:val="el" w:eastAsia="el"/>
        </w:rPr>
        <w:t xml:space="preserve">Άρθρο πρώτο </w:t>
      </w:r>
    </w:p>
    <w:p>
      <w:pPr>
        <w:pStyle w:val="Heading6"/>
        <w:spacing w:before="240" w:after="240"/>
        <w:rPr>
          <w:lang w:val="el" w:eastAsia="el"/>
        </w:rPr>
      </w:pPr>
      <w:r>
        <w:rPr>
          <w:b/>
          <w:bCs/>
          <w:lang w:val="el" w:eastAsia="el"/>
        </w:rPr>
        <w:t>«Κύρωση ρηματικών διακοινώσεων»</w:t>
      </w:r>
    </w:p>
    <w:p>
      <w:pPr>
        <w:spacing w:before="240" w:after="240"/>
        <w:rPr>
          <w:lang w:val="el" w:eastAsia="el"/>
        </w:rPr>
      </w:pPr>
      <w:r>
        <w:rPr>
          <w:b/>
          <w:bCs/>
          <w:lang w:val="el" w:eastAsia="el"/>
        </w:rPr>
        <w:t>Με τις διατάξεις του άρθρου πρώτου του κοινοποιούμενου νόμου, κυρώνεται και έχει την ισχύ, που ορίζει η παρ. 1 του άρθρου 28 του Συντάγματος, η δι’ ανταλλαγής ρηματικών διακοινώσεων, από 2 Μάϊου 2025, Συμφωνία για τη συνέχιση της εφαρμογής της Συμφωνίας μεταξύ της Κυβέρνησης της Ελληνικής Δημοκρατίας και της Κυβέρνησης των Ηνωμένων Αραβικών Εμιράτων για την αποφυγή της διπλής φορολογίας και την αποτροπή της φοροδιαφυγής αναφορικά με τους φόρους επί του εισοδήματος και επί του κεφαλαίου, η οποία υπογράφηκε στο Άμπου Ντάμπι, στις 18 Ιανουαρίου 2010, και του Πρωτοκόλλου που τροποποιεί τη Συμφωνία αυτή, το οποίο υπογράφηκε στην Αθήνα, στις 27 Ιουνίου 2013 και κυρώθηκαν με τον ν. 4234/2014 (Α’ 28).</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τις διατάξεις του άρθρου δεύτερου του κοινοποιούμενου νόμου ορίζεται ότι η ισχύς αυτού, αρχίζει από τη δημοσίευσή του στην Εφημερίδα της Κυβερνήσεως (8.9.2025) και της Συμφωνίας που κυρώνεται κατά τα προβλεπόμενα στις ανταλλαγείσες ρηματικές διακοινώσεις.</w:t>
      </w:r>
    </w:p>
    <w:p>
      <w:pPr>
        <w:spacing w:before="240" w:after="240"/>
        <w:rPr>
          <w:lang w:val="el" w:eastAsia="el"/>
        </w:rPr>
      </w:pPr>
      <w:r>
        <w:rPr>
          <w:b/>
          <w:bCs/>
          <w:lang w:val="el" w:eastAsia="el"/>
        </w:rPr>
        <w:t>Συνημμένα: ΦΕΚ Α΄156/2025 που περιλαμβάνει τα κοινοποιούμενα άρθρα του ν. 5228/2025 με το πρωτότυπο κείμενο των ρηματικών διακοινώσεων στην αγγλική γλώσσα και την μετάφρασή τους στην ελληνική.</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Γενικής Γραμματέως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 (εκτός των αριθμών 2 και 3 αυτού)</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Β΄</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Προϊσταμένου Γενικής Διεύθυνσης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Προϊσταμένης Γενικής Διεύθυνσης Ηλεκτρονικής Διακυβέρνησης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Διεθνών Φορολογικών Σχέσεων</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Εξυπηρέτησης</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Εφαρμογής Άμεσης Φορολογίας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