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22/10/2025</w:t>
      </w:r>
    </w:p>
    <w:p>
      <w:pPr>
        <w:pStyle w:val="PreambelText"/>
        <w:spacing w:before="240" w:after="240"/>
        <w:rPr>
          <w:lang w:val="el" w:eastAsia="el"/>
        </w:rPr>
      </w:pPr>
      <w:r>
        <w:rPr>
          <w:lang w:val="el" w:eastAsia="el"/>
        </w:rPr>
        <w:t>Α. Π.: Ο3064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 xml:space="preserve">Ανεξάρτητη Αρχή </w:t>
      </w:r>
      <w:r>
        <w:rPr>
          <w:b/>
          <w:bCs/>
          <w:lang w:val="el" w:eastAsia="el"/>
        </w:rPr>
        <w:t xml:space="preserve">§iA£S9 </w:t>
      </w:r>
      <w:r>
        <w:rPr>
          <w:lang w:val="el" w:eastAsia="el"/>
        </w:rPr>
        <w:t>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5"/>
        <w:gridCol w:w="2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 ΦΟΡΟΛΟΓΙΑΣ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ΔΙΕΥΘΥΝΣΗ ΕΦΑΡΜΟΓΗΣ ΦΟΡΟΛΟΓΙΑΣ ΚΕΦΑΛΑΙΟΥ ΚΑΙ ΠΕΡΙΟΥΣΙΟΛΟΓΙΟΥ</w:t>
            </w:r>
          </w:p>
          <w:p>
            <w:pPr>
              <w:spacing w:before="240" w:after="240"/>
              <w:rPr>
                <w:b w:val="0"/>
                <w:bCs w:val="0"/>
                <w:i w:val="0"/>
                <w:iCs w:val="0"/>
                <w:smallCaps w:val="0"/>
                <w:color w:val="000000"/>
                <w:lang w:val="el" w:eastAsia="el"/>
              </w:rPr>
            </w:pPr>
            <w:r>
              <w:rPr>
                <w:b/>
                <w:bCs/>
                <w:i w:val="0"/>
                <w:iCs w:val="0"/>
                <w:smallCaps w:val="0"/>
                <w:color w:val="000000"/>
                <w:lang w:val="el" w:eastAsia="el"/>
              </w:rPr>
              <w:t>ΤΜΗΜΑ Β΄</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 Πειραιώς 180</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 177 78, Ταύρος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:2131410514</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 mail : </w:t>
            </w:r>
            <w:hyperlink r:id="rId4" w:history="1">
              <w:r>
                <w:rPr>
                  <w:rStyle w:val="Hyperlink"/>
                  <w:b/>
                  <w:bCs/>
                  <w:i w:val="0"/>
                  <w:iCs w:val="0"/>
                  <w:smallCaps w:val="0"/>
                  <w:color w:val="0000EE"/>
                  <w:u w:color="0000EE"/>
                  <w:lang w:val="el" w:eastAsia="el"/>
                </w:rPr>
                <w:t>defk@aade.gr</w:t>
              </w:r>
            </w:hyperlink>
          </w:p>
          <w:p>
            <w:pPr>
              <w:spacing w:before="240" w:after="240"/>
              <w:rPr>
                <w:b w:val="0"/>
                <w:bCs w:val="0"/>
                <w:i w:val="0"/>
                <w:iCs w:val="0"/>
                <w:smallCaps w:val="0"/>
                <w:color w:val="000000"/>
                <w:lang w:val="el" w:eastAsia="el"/>
              </w:rPr>
            </w:pPr>
            <w:r>
              <w:rPr>
                <w:b/>
                <w:bCs/>
                <w:i w:val="0"/>
                <w:iCs w:val="0"/>
                <w:smallCaps w:val="0"/>
                <w:color w:val="000000"/>
                <w:lang w:val="el" w:eastAsia="el"/>
              </w:rPr>
              <w:t xml:space="preserve">Url : </w:t>
            </w:r>
            <w:hyperlink r:id="rId5" w:history="1">
              <w:r>
                <w:rPr>
                  <w:rStyle w:val="Hyperlink"/>
                  <w:b/>
                  <w:bCs/>
                  <w:i w:val="0"/>
                  <w:iCs w:val="0"/>
                  <w:smallCaps w:val="0"/>
                  <w:color w:val="0000EE"/>
                  <w:u w:color="0000EE"/>
                  <w:lang w:val="el" w:eastAsia="el"/>
                </w:rPr>
                <w:t>www.aade.gr</w:t>
              </w:r>
            </w:hyperlink>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ΔΙΕΥΘΥΝΣΗ ΕΦΑΡΜΟΓΗΣ ΕΜΜΕΣΗΣ ΦΟΡΟΛΟΓΙΑΣ</w:t>
            </w:r>
          </w:p>
          <w:p>
            <w:pPr>
              <w:spacing w:before="240" w:after="240"/>
              <w:rPr>
                <w:b w:val="0"/>
                <w:bCs w:val="0"/>
                <w:i w:val="0"/>
                <w:iCs w:val="0"/>
                <w:smallCaps w:val="0"/>
                <w:color w:val="000000"/>
                <w:lang w:val="el" w:eastAsia="el"/>
              </w:rPr>
            </w:pPr>
            <w:r>
              <w:rPr>
                <w:b/>
                <w:bCs/>
                <w:i w:val="0"/>
                <w:iCs w:val="0"/>
                <w:smallCaps w:val="0"/>
                <w:color w:val="000000"/>
                <w:lang w:val="el" w:eastAsia="el"/>
              </w:rPr>
              <w:t>ΤΜΗΜATA Α΄&amp; B΄</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 Πειραιώς 180</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 177 78, Ταύρος</w:t>
            </w:r>
          </w:p>
          <w:p>
            <w:pPr>
              <w:spacing w:before="240" w:after="240"/>
              <w:rPr>
                <w:b w:val="0"/>
                <w:bCs w:val="0"/>
                <w:i w:val="0"/>
                <w:iCs w:val="0"/>
                <w:smallCaps w:val="0"/>
                <w:color w:val="000000"/>
                <w:lang w:val="el" w:eastAsia="el"/>
              </w:rPr>
            </w:pPr>
            <w:r>
              <w:rPr>
                <w:b/>
                <w:bCs/>
                <w:i w:val="0"/>
                <w:iCs w:val="0"/>
                <w:smallCaps w:val="0"/>
                <w:color w:val="000000"/>
                <w:lang w:val="el" w:eastAsia="el"/>
              </w:rPr>
              <w:t>Tηλέφωνο : 2131410142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Email : </w:t>
            </w:r>
            <w:hyperlink r:id="rId6" w:history="1">
              <w:r>
                <w:rPr>
                  <w:rStyle w:val="Hyperlink"/>
                  <w:b/>
                  <w:bCs/>
                  <w:i w:val="0"/>
                  <w:iCs w:val="0"/>
                  <w:smallCaps w:val="0"/>
                  <w:color w:val="0000EE"/>
                  <w:u w:color="0000EE"/>
                  <w:lang w:val="el" w:eastAsia="el"/>
                </w:rPr>
                <w:t>deef@aade.gr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Url : </w:t>
            </w:r>
            <w:hyperlink r:id="rId7" w:history="1">
              <w:r>
                <w:rPr>
                  <w:rStyle w:val="Hyperlink"/>
                  <w:b/>
                  <w:bCs/>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Αθήνα, 21 Οκτωβρίου 2025</w:t>
            </w:r>
          </w:p>
          <w:p>
            <w:pPr>
              <w:spacing w:before="240"/>
              <w:rPr>
                <w:b w:val="0"/>
                <w:bCs w:val="0"/>
                <w:i w:val="0"/>
                <w:iCs w:val="0"/>
                <w:smallCaps w:val="0"/>
                <w:color w:val="000000"/>
                <w:lang w:val="el" w:eastAsia="el"/>
              </w:rPr>
            </w:pPr>
            <w:r>
              <w:rPr>
                <w:b/>
                <w:bCs/>
                <w:i w:val="0"/>
                <w:iCs w:val="0"/>
                <w:smallCaps w:val="0"/>
                <w:color w:val="000000"/>
                <w:lang w:val="el" w:eastAsia="el"/>
              </w:rPr>
              <w:t>ΠΡΟΣ: Ως πίνακας διανομής</w:t>
            </w:r>
          </w:p>
        </w:tc>
      </w:tr>
    </w:tbl>
    <w:p>
      <w:pPr>
        <w:pStyle w:val="PreambelText"/>
        <w:spacing w:before="240" w:after="240"/>
        <w:rPr>
          <w:lang w:val="el" w:eastAsia="el"/>
        </w:rPr>
      </w:pPr>
      <w:r>
        <w:rPr>
          <w:b/>
          <w:bCs/>
          <w:lang w:val="el" w:eastAsia="el"/>
        </w:rPr>
        <w:t>Θέμα: «Κοινοποίηση των διατάξεων των άρθρων 9, 25 και 45 του ν. 5237/2025 (Α΄176) με τίτλο «Σύσταση Ακαδημιών Επαγγελματικής Κατάρτισης - Ένταξη των Ακαδημιών στο Εθνικό Σύστημα Επαγγελματικής Εκπαίδευσης και Κατάρτισης, άλλα θέματα επαγγελματικής κατάρτισης και λοιπές διατάξεις.».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9, 25 και 45 του ν. 5237/2025 (Α΄176).</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5237/2025:</w:t>
      </w:r>
    </w:p>
    <w:p>
      <w:pPr>
        <w:pStyle w:val="PreambelText"/>
        <w:spacing w:before="240" w:after="240"/>
        <w:rPr>
          <w:lang w:val="el" w:eastAsia="el"/>
        </w:rPr>
      </w:pPr>
      <w:r>
        <w:rPr>
          <w:lang w:val="el" w:eastAsia="el"/>
        </w:rPr>
        <w:t xml:space="preserve">1. </w:t>
      </w:r>
      <w:r>
        <w:rPr>
          <w:b/>
          <w:bCs/>
          <w:lang w:val="el" w:eastAsia="el"/>
        </w:rPr>
        <w:t>Άρθρο 9 «Ειδικότεροι όροι συμφωνίας - Προσθήκη άρθρου 34ΣΤ στον ν. 4763/2020»</w:t>
      </w:r>
    </w:p>
    <w:p>
      <w:pPr>
        <w:pStyle w:val="PreambelText"/>
        <w:spacing w:before="240" w:after="240"/>
        <w:rPr>
          <w:lang w:val="el" w:eastAsia="el"/>
        </w:rPr>
      </w:pPr>
      <w:r>
        <w:rPr>
          <w:lang w:val="el" w:eastAsia="el"/>
        </w:rPr>
        <w:t xml:space="preserve">2. </w:t>
      </w:r>
      <w:r>
        <w:rPr>
          <w:b/>
          <w:bCs/>
          <w:lang w:val="el" w:eastAsia="el"/>
        </w:rPr>
        <w:t>Άρθρο 25 «Προϋποθέσεις παροχής διδακτικού ή συμβουλευτικού έργου και υπηρεσιών υλοποίησης πράξεων Εταιρικού Συμφώνου Περιφερειακής Ανάπτυξης 2021-2027 από δημόσιους υπαλλήλους σε δομές επαγγελματικής εκπαίδευσης και κατάρτισης, αρμοδιότητας του Υπουργείου Παιδείας, Θρησκευμάτων και Αθλητισμού - Προσθήκη άρθρου 137Α στον ν. 4763/2020»</w:t>
      </w:r>
    </w:p>
    <w:p>
      <w:pPr>
        <w:pStyle w:val="PreambelText"/>
        <w:spacing w:before="240" w:after="240"/>
        <w:rPr>
          <w:lang w:val="el" w:eastAsia="el"/>
        </w:rPr>
      </w:pPr>
      <w:r>
        <w:rPr>
          <w:lang w:val="el" w:eastAsia="el"/>
        </w:rPr>
        <w:t xml:space="preserve">3. </w:t>
      </w:r>
      <w:r>
        <w:rPr>
          <w:b/>
          <w:bCs/>
          <w:lang w:val="el" w:eastAsia="el"/>
        </w:rPr>
        <w:t>Άρθρο 45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Οι διατάξεις του άρθρου 9 αφορούν απαλλαγές των Ακαδημιών Επαγγελματικής Κατάρτισης από φόρους, τέλη κ.λπ. για παροχές, χρηματοδοτήσεις ή δωρεές που συντελούνται προς αυτές.</w:t>
      </w:r>
    </w:p>
    <w:p>
      <w:pPr>
        <w:pStyle w:val="PreambelText"/>
        <w:spacing w:before="240" w:after="240"/>
        <w:rPr>
          <w:lang w:val="el" w:eastAsia="el"/>
        </w:rPr>
      </w:pPr>
      <w:r>
        <w:rPr>
          <w:lang w:val="el" w:eastAsia="el"/>
        </w:rPr>
        <w:t xml:space="preserve">2. </w:t>
      </w:r>
      <w:r>
        <w:rPr>
          <w:b/>
          <w:bCs/>
          <w:lang w:val="el" w:eastAsia="el"/>
        </w:rPr>
        <w:t>Οι διατάξεις του άρθρου 25 αφορούν ρυθμίσεις παροχής διδακτικού έργου από δημοσίους υπαλλήλους σε δομές επαγγελματικής εκπαίδευσης του Υπουργείου Παιδείας.</w:t>
      </w:r>
    </w:p>
    <w:p>
      <w:pPr>
        <w:pStyle w:val="PreambelText"/>
        <w:spacing w:before="240" w:after="240"/>
        <w:rPr>
          <w:lang w:val="el" w:eastAsia="el"/>
        </w:rPr>
      </w:pPr>
      <w:r>
        <w:rPr>
          <w:lang w:val="el" w:eastAsia="el"/>
        </w:rPr>
        <w:t xml:space="preserve">3. </w:t>
      </w:r>
      <w:r>
        <w:rPr>
          <w:b/>
          <w:bCs/>
          <w:lang w:val="el" w:eastAsia="el"/>
        </w:rPr>
        <w:t>Οι διατάξεις του άρθρου 45 αφορούν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9, 25 και 45 του ν. 5237/2025 (Α΄ 176) ως εξής: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«Ειδικότεροι όροι συμφωνίας - Προσθήκη άρθρου 34ΣΤ στον ν. 4763/2020»</w:t>
      </w:r>
    </w:p>
    <w:p>
      <w:pPr>
        <w:spacing w:before="240" w:after="240"/>
        <w:rPr>
          <w:lang w:val="el" w:eastAsia="el"/>
        </w:rPr>
      </w:pPr>
      <w:r>
        <w:rPr>
          <w:b/>
          <w:bCs/>
          <w:lang w:val="el" w:eastAsia="el"/>
        </w:rPr>
        <w:t>Με τις διατάξεις του άρθρου 9 του κοινοποιούμενου νόμου ορίζεται ότι στον ν. 4763/2020 (Α’ 254) προστίθεται άρθρο 34ΣΤ ως εξής:</w:t>
      </w:r>
    </w:p>
    <w:p>
      <w:pPr>
        <w:spacing w:before="240" w:after="240"/>
        <w:rPr>
          <w:lang w:val="el" w:eastAsia="el"/>
        </w:rPr>
      </w:pPr>
      <w:r>
        <w:rPr>
          <w:b/>
          <w:bCs/>
          <w:lang w:val="el" w:eastAsia="el"/>
        </w:rPr>
        <w:t>«Άρθρο 34ΣΤ</w:t>
      </w:r>
    </w:p>
    <w:p>
      <w:pPr>
        <w:spacing w:before="240" w:after="240"/>
        <w:rPr>
          <w:lang w:val="el" w:eastAsia="el"/>
        </w:rPr>
      </w:pPr>
      <w:r>
        <w:rPr>
          <w:b/>
          <w:bCs/>
          <w:lang w:val="el" w:eastAsia="el"/>
        </w:rPr>
        <w:t>Ειδικότεροι όροι συμφωνίας</w:t>
      </w:r>
    </w:p>
    <w:p>
      <w:pPr>
        <w:spacing w:before="240" w:after="240"/>
        <w:rPr>
          <w:lang w:val="el" w:eastAsia="el"/>
        </w:rPr>
      </w:pPr>
      <w:r>
        <w:rPr>
          <w:lang w:val="el" w:eastAsia="el"/>
        </w:rPr>
        <w:t xml:space="preserve">1. </w:t>
      </w:r>
      <w:r>
        <w:rPr>
          <w:b/>
          <w:bCs/>
          <w:lang w:val="el" w:eastAsia="el"/>
        </w:rPr>
        <w:t>Κάθε είδους παροχή ή χρηματοδότηση ή χορηγία ή δωρεά, σε χρήμα ή αποτιμητέα σε χρήμα, προβλεπόμενη στη συμφωνία ή επιγενόμενη, υπέρ του Ελληνικού Δημοσίου και των Ακαδημιών Επαγγελματικής Κατάρτισης από τον συμβαλλόμενο οικονομικό φορέα ή τρίτο, που σχετίζεται με τους σκοπούς της Ακαδημίας Επαγγελματικής Κατάρτισης, απαλλάσσεται από κάθε είδους φόρο, δικαίωμα ή τέλος, συμπεριλαμβανομένου του φόρου δωρεάς, του Ψηφιακού Τέλους Συναλλαγής, καθώς και κρατήσεων ή εισφορών ή άλλων επιβαρύνσεων οποιασδήποτε φύσεως υπέρ του Δημοσίου, ή οποιουδήποτε τρίτου. Από την απαλλαγή του πρώτου εδαφίου εξαιρούνται οι πάσης φύσεως επιβαρύνσεις υπέρ των οργανισμών τοπικής αυτοδιοίκησης α’ και β’ βαθμού και των νομικών τους προσώπων. Παραδόσεις αγαθών και παροχές υπηρεσιών, που διενεργούνται στο πλαίσιο της συμφωνίας απαλλάσσονται από τον Φόρο Προστιθέμενης Αξίας, σύμφωνα με την περ. ιε) της παρ. 1 του άρθρου 32 του Κώδικα Φόρου Προστιθέμενης Αξίας (ν. 5144/2024, Α’ 162), περί ειδικών απαλλαγών, και την υπό στοιχεία Α.1050/19.3.2020 κοινή</w:t>
      </w:r>
    </w:p>
    <w:p>
      <w:pPr>
        <w:spacing w:before="240" w:after="240"/>
        <w:rPr>
          <w:lang w:val="el" w:eastAsia="el"/>
        </w:rPr>
      </w:pPr>
      <w:r>
        <w:rPr>
          <w:b/>
          <w:bCs/>
          <w:lang w:val="el" w:eastAsia="el"/>
        </w:rPr>
        <w:t>απόφαση του Υφυπουργού Οικονομικών και του Διοικητή της Ανεξάρτητης Αρχής Δημοσίων Εσόδων «Καθορισμός διαδικασίας απαλλαγής ΦΠΑ στις παραδόσεις αγαθών και παροχές υπηρεσιών στο πλαίσιο πραγματοποίησης δωρεών σύμφωνα με την περίπτωση ιστ’ της παραγράφου 1 του άρθρου 27 του Κώδικα ΦΠΑ (ν. 2859/2000 - Α’ 248)» (Β’ 942), όπως εκάστοτε ισχύει, έως του ποσού της συναφθείσας δωρεάς και των εκτελεστικών αυτής συμβάσεων.»</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«Προϋποθέσεις παροχής διδακτικού ή συμβουλευτικού έργου και υπηρεσιών υλοποίησης πράξεων Εταιρικού Συμφώνου Περιφερειακής Ανάπτυξης 2021-2027 από δημόσιους υπαλλήλους σε δομές επαγγελματικής εκπαίδευσης και κατάρτισης, αρμοδιότητας του Υπουργείου Παιδείας, Θρησκευμάτων και Αθλητισμού - Προσθήκη άρθρου 137Α στον ν. 4763/2020»</w:t>
      </w:r>
    </w:p>
    <w:p>
      <w:pPr>
        <w:spacing w:before="240" w:after="240"/>
        <w:rPr>
          <w:lang w:val="el" w:eastAsia="el"/>
        </w:rPr>
      </w:pPr>
      <w:r>
        <w:rPr>
          <w:b/>
          <w:bCs/>
          <w:lang w:val="el" w:eastAsia="el"/>
        </w:rPr>
        <w:t>Με τις διατάξεις του άρθρου 25 του κοινοποιούμενου νόμου ορίζεται ότι στον ν. 4763/2020 προστίθεται άρθρο 137Α ως εξής:</w:t>
      </w:r>
    </w:p>
    <w:p>
      <w:pPr>
        <w:spacing w:before="240" w:after="240"/>
        <w:rPr>
          <w:lang w:val="el" w:eastAsia="el"/>
        </w:rPr>
      </w:pPr>
      <w:r>
        <w:rPr>
          <w:b/>
          <w:bCs/>
          <w:lang w:val="el" w:eastAsia="el"/>
        </w:rPr>
        <w:t>«Άρθρο 137Α</w:t>
      </w:r>
    </w:p>
    <w:p>
      <w:pPr>
        <w:spacing w:before="240" w:after="240"/>
        <w:rPr>
          <w:lang w:val="el" w:eastAsia="el"/>
        </w:rPr>
      </w:pPr>
      <w:r>
        <w:rPr>
          <w:b/>
          <w:bCs/>
          <w:lang w:val="el" w:eastAsia="el"/>
        </w:rPr>
        <w:t>Προϋποθέσεις παροχής διδακτικού ή συμβουλευτικού έργου και υπηρεσιών υλοποίησης πράξεων Εταιρικού Συμφώνου Περιφερειακής Ανάπτυξης 2021-2027 από δημόσιους υπαλλήλους σε δομές επαγγελματικής εκπαίδευσης και κατάρτισης αρμοδιότητας του Υπουργείου Παιδείας, Θρησκευμάτων και Αθλητισμού.</w:t>
      </w:r>
    </w:p>
    <w:p>
      <w:pPr>
        <w:spacing w:before="240" w:after="240"/>
        <w:rPr>
          <w:lang w:val="el" w:eastAsia="el"/>
        </w:rPr>
      </w:pPr>
      <w:r>
        <w:rPr>
          <w:lang w:val="el" w:eastAsia="el"/>
        </w:rPr>
        <w:t xml:space="preserve">1. </w:t>
      </w:r>
      <w:r>
        <w:rPr>
          <w:b/>
          <w:bCs/>
          <w:lang w:val="el" w:eastAsia="el"/>
        </w:rPr>
        <w:t>Στους υπαλλήλους φορέων του δημόσιου τομέα, όπως αυτός οροθετείται στην περ. α) της παρ. 1 του άρθρου 14 του ν. 4270/2014 (Α’ 143), περί ορισμών, κατά παρέκκλιση του άρθρου 31 του Κώδικα Κατάστασης Δημοσίων Πολιτικών Υπαλλήλων και Υπαλλήλων Ν.Π.Δ.Δ. (ν. 3528/2007, Α’ 26), περί άσκησης ιδιωτικού έργου με αμοιβή, του άρθρου 38 του Κώδικα Κατάστασης Δημοτικών και Κοινοτικών Υπαλλήλων, (ν. 3584/2007, Α’ 143), περί άσκησης ιδιωτικού έργου με αμοιβή, ή άλλης αντίστοιχης διάταξης, δεν απαιτείται άδεια για την άσκηση ιδιωτικού έργου με αμοιβή σε περίπτωση παροχής: α) διδακτικού έργου προς όλες τις δομές επαγγελματικής εκπαίδευσης και κατάρτισης αρμοδιότητας του Υπουργείου Παιδείας, Θρησκευμάτων και Αθλητισμού, επιπέδων τρία (3) και πέντε (5) του Εθνικού Πλαισίου Προσόντων (Ε.Π.Π.), που εποπτεύονται από τη Γενική Γραμματεία Επαγγελματικής Εκπαίδευσης, Κατάρτισης και Δια βίου Μάθησης (Γ.Γ.Ε.Ε.Κ.&amp; Δ.Β.Μ.), β) διδακτικού και συμβουλευτικού έργου προς τα Σχολεία Δεύτερης Ευκαιρίας (Σ.Δ.Ε.), γ) υπηρεσιών υλοποίησης των πράξεων των επιχειρησιακών προγραμμάτων του Εταιρικού Συμφώνου Περιφερειακής Ανάπτυξης (Ε.Σ.Π.Α.) 2021-2027 που υλοποιούνται στον τομέα αρμοδιότητας της Γ.Γ.Ε.Ε.Κ.&amp;Δ.Β.Μ.. Προϋπόθεση για την εφαρμογή της παρούσας είναι το διδακτικό ή συμβουλευτικό έργο και οι υπηρεσίες υλοποίησης να παρέχονται εκτός του ωραρίου εργασίας των υπαλλήλων.</w:t>
      </w:r>
    </w:p>
    <w:p>
      <w:pPr>
        <w:spacing w:before="240" w:after="240"/>
        <w:rPr>
          <w:lang w:val="el" w:eastAsia="el"/>
        </w:rPr>
      </w:pPr>
      <w:r>
        <w:rPr>
          <w:lang w:val="el" w:eastAsia="el"/>
        </w:rPr>
        <w:t xml:space="preserve">2. </w:t>
      </w:r>
      <w:r>
        <w:rPr>
          <w:b/>
          <w:bCs/>
          <w:lang w:val="el" w:eastAsia="el"/>
        </w:rPr>
        <w:t>Οι δημόσιοι υπάλληλοι της παρ. 1 διατηρούν την υποχρέωση έγγραφης ενημέρωσης της υπηρεσίας τους, γνωστοποιώντας εντός δέκα (10) ημερών από την ανάθεση του έργου τα ακόλουθα στοιχεία: α) τη δομή επαγγελματικής εκπαίδευσης και κατάρτισης αρμοδιότητας του Υπουργείου Παιδείας, Θρησκευμάτων και Αθλητισμού προς την οποία θα παρασχεθεί το έργο ή την απόφαση ανάθεσης για το έργο που αναλαμβάνουν, β) το ακριβές αντικείμενο, γ) τη χρονική διάρκεια και δ) τις ημέρες και ώρες απασχόλησής τους ανά εβδομάδα. Η παράλειψη ενημέρωσης της υπηρεσίας εκ μέρους του υπαλλήλου συνιστά πειθαρχικό παράπτωμα, σύμφωνα με την περ. κε) της παρ. 1 του άρθρου 107 του Κώδικα Κατάστασης Δημοσίων Πολιτικών Υπαλλήλων και Υπαλλήλων Ν.Π.Δ.Δ., περί απαρίθμησης πειθαρχικών παραπτωμάτων, την περ. θ’ της παρ. 1 του άρθρου 111 του Κώδικα Κατάστασης Δημοτικών και Κοινοτικών Υπαλλήλων, ή άλλη αντίστοιχη διάταξη.»</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 διάταξη του άρθρου 45 του κοινοποιούμενου νόμου ορίζεται ότι η ισχύς του παρόντος αρχίζει από τη δημοσίευσή του στην Εφημερίδα της Κυβερνήσεως, εκτός αν προβλέπεται διαφορετικά στις επιμέρους διατάξεις του.</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Α΄176/13.10.2025 (άρθρα 9, 25 και 45 του ν. 5237/2025).</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Α΄(περ. 1 &amp; 4)</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hyperlink" Target="mailto:deef@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