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1. ΔΙΕΥΘΥΝΣΗ ΕΦΑΡΜΟΓΗΣ ΑΜΕΣΗΣ</w:t>
      </w:r>
    </w:p>
    <w:p>
      <w:pPr>
        <w:pStyle w:val="PreambelText"/>
        <w:spacing w:before="240" w:after="240"/>
        <w:rPr>
          <w:lang w:val="el" w:eastAsia="el"/>
        </w:rPr>
      </w:pPr>
      <w:r>
        <w:rPr>
          <w:b/>
          <w:bCs/>
          <w:lang w:val="el" w:eastAsia="el"/>
        </w:rPr>
        <w:t>ΦΟΡΟΛΟΓΙΑΣ ΤΜΗΜΑΤΑ ΄ Ταχ. Δ/νση Ταχ. Κώδικας Τηλέφωνο Email</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17778, Ταύρος</w:t>
      </w:r>
    </w:p>
    <w:p>
      <w:pPr>
        <w:pStyle w:val="PreambelText"/>
        <w:spacing w:before="240" w:after="240"/>
        <w:rPr>
          <w:lang w:val="el" w:eastAsia="el"/>
        </w:rPr>
      </w:pPr>
      <w:r>
        <w:rPr>
          <w:b/>
          <w:bCs/>
          <w:lang w:val="el" w:eastAsia="el"/>
        </w:rPr>
        <w:t>: 2131410219</w:t>
      </w:r>
    </w:p>
    <w:p>
      <w:pPr>
        <w:pStyle w:val="PreambelText"/>
        <w:spacing w:before="240" w:after="240"/>
        <w:rPr>
          <w:lang w:val="el" w:eastAsia="el"/>
        </w:rPr>
      </w:pPr>
      <w:r>
        <w:rPr>
          <w:b/>
          <w:bCs/>
          <w:lang w:val="el" w:eastAsia="el"/>
        </w:rPr>
        <w:t xml:space="preserve">: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2. ΔΙΕΥΘΥΝΣΗ ΕΦΑΡΜΟΓΗΣ ΕΜΜΕΣΗΣ</w:t>
      </w:r>
    </w:p>
    <w:p>
      <w:pPr>
        <w:pStyle w:val="PreambelText"/>
        <w:spacing w:before="240" w:after="240"/>
        <w:rPr>
          <w:lang w:val="el" w:eastAsia="el"/>
        </w:rPr>
      </w:pPr>
      <w:r>
        <w:rPr>
          <w:b/>
          <w:bCs/>
          <w:lang w:val="el" w:eastAsia="el"/>
        </w:rPr>
        <w:t>ΦΟΡΟΛΟΓΙΑΣ ΤΜΗΜΑ Α</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 Email</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17778, Ταύρος</w:t>
      </w:r>
    </w:p>
    <w:p>
      <w:pPr>
        <w:pStyle w:val="PreambelText"/>
        <w:spacing w:before="240" w:after="240"/>
        <w:rPr>
          <w:lang w:val="el" w:eastAsia="el"/>
        </w:rPr>
      </w:pPr>
      <w:r>
        <w:rPr>
          <w:b/>
          <w:bCs/>
          <w:lang w:val="el" w:eastAsia="el"/>
        </w:rPr>
        <w:t xml:space="preserve">: </w:t>
      </w:r>
      <w:hyperlink r:id="rId5" w:history="1">
        <w:r>
          <w:rPr>
            <w:rStyle w:val="Hyperlink"/>
            <w:b/>
            <w:bCs/>
            <w:color w:val="0000EE"/>
            <w:u w:color="0000EE"/>
            <w:lang w:val="el" w:eastAsia="el"/>
          </w:rPr>
          <w:t>deef@aade.gr</w:t>
        </w:r>
      </w:hyperlink>
    </w:p>
    <w:p>
      <w:pPr>
        <w:pStyle w:val="PreambelText"/>
        <w:spacing w:before="240" w:after="240"/>
        <w:rPr>
          <w:lang w:val="el" w:eastAsia="el"/>
        </w:rPr>
      </w:pPr>
      <w:r>
        <w:rPr>
          <w:b/>
          <w:bCs/>
          <w:lang w:val="el" w:eastAsia="el"/>
        </w:rPr>
        <w:t>3. 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rStyle w:val="hierarchy-num"/>
          <w:b/>
          <w:bCs/>
          <w:lang w:val="el" w:eastAsia="el"/>
        </w:rPr>
        <w:t>ΤΜΗΜΑ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Email</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17778, Ταύρος</w:t>
      </w:r>
    </w:p>
    <w:p>
      <w:pPr>
        <w:spacing w:before="240" w:after="240"/>
        <w:rPr>
          <w:lang w:val="el" w:eastAsia="el"/>
        </w:rPr>
      </w:pPr>
      <w:r>
        <w:rPr>
          <w:b/>
          <w:bCs/>
          <w:lang w:val="el" w:eastAsia="el"/>
        </w:rPr>
        <w:t xml:space="preserve">: </w:t>
      </w:r>
      <w:hyperlink r:id="rId6" w:history="1">
        <w:r>
          <w:rPr>
            <w:rStyle w:val="Hyperlink"/>
            <w:b/>
            <w:bCs/>
            <w:color w:val="0000EE"/>
            <w:u w:color="0000EE"/>
            <w:lang w:val="el" w:eastAsia="el"/>
          </w:rPr>
          <w:t>defk@aade.gr</w:t>
        </w:r>
      </w:hyperlink>
    </w:p>
    <w:p>
      <w:pPr>
        <w:spacing w:before="240" w:after="240"/>
        <w:rPr>
          <w:lang w:val="el" w:eastAsia="el"/>
        </w:rPr>
      </w:pPr>
      <w:r>
        <w:rPr>
          <w:b/>
          <w:bCs/>
          <w:lang w:val="el" w:eastAsia="el"/>
        </w:rPr>
        <w:t>4. ΔΙΕΥΘΥΝΣΗ ΔΙΑΔΙΚΑΣΙΩΝ ΕΙΣΠΡΑΞΕΩΝ ΚΑΙ</w:t>
      </w:r>
    </w:p>
    <w:p>
      <w:pPr>
        <w:spacing w:before="240" w:after="240"/>
        <w:rPr>
          <w:lang w:val="el" w:eastAsia="el"/>
        </w:rPr>
      </w:pPr>
      <w:r>
        <w:rPr>
          <w:b/>
          <w:bCs/>
          <w:lang w:val="el" w:eastAsia="el"/>
        </w:rPr>
        <w:t>ΕΠΙΣΤΡΟΦΩΝ (ΔΙ.Δ.ΕΙΣ.ΕΠ.)</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Τηλέφωνο Email</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17778, Ταύρος</w:t>
      </w:r>
    </w:p>
    <w:p>
      <w:pPr>
        <w:spacing w:before="240" w:after="240"/>
        <w:rPr>
          <w:lang w:val="el" w:eastAsia="el"/>
        </w:rPr>
      </w:pPr>
      <w:r>
        <w:rPr>
          <w:b/>
          <w:bCs/>
          <w:lang w:val="el" w:eastAsia="el"/>
        </w:rPr>
        <w:t>: 2131410203</w:t>
      </w:r>
    </w:p>
    <w:p>
      <w:pPr>
        <w:spacing w:before="240" w:after="240"/>
        <w:rPr>
          <w:lang w:val="el" w:eastAsia="el"/>
        </w:rPr>
      </w:pPr>
      <w:r>
        <w:rPr>
          <w:b/>
          <w:bCs/>
          <w:lang w:val="el" w:eastAsia="el"/>
        </w:rPr>
        <w:t>:</w:t>
      </w:r>
      <w:hyperlink r:id="rId7" w:history="1">
        <w:r>
          <w:rPr>
            <w:rStyle w:val="Hyperlink"/>
            <w:b/>
            <w:bCs/>
            <w:color w:val="0000EE"/>
            <w:u w:color="0000EE"/>
            <w:lang w:val="el" w:eastAsia="el"/>
          </w:rPr>
          <w:t>dideisep@aade.gr</w:t>
        </w:r>
      </w:hyperlink>
    </w:p>
    <w:p>
      <w:pPr>
        <w:spacing w:before="240" w:after="240"/>
        <w:rPr>
          <w:lang w:val="el" w:eastAsia="el"/>
        </w:rPr>
      </w:pPr>
      <w:r>
        <w:rPr>
          <w:b/>
          <w:bCs/>
          <w:lang w:val="el" w:eastAsia="el"/>
        </w:rPr>
        <w:t>Αθήνα, 11/11/2025</w:t>
      </w:r>
    </w:p>
    <w:p>
      <w:pPr>
        <w:spacing w:before="240" w:after="240"/>
        <w:rPr>
          <w:lang w:val="el" w:eastAsia="el"/>
        </w:rPr>
      </w:pPr>
      <w:r>
        <w:rPr>
          <w:b/>
          <w:bCs/>
          <w:lang w:val="el" w:eastAsia="el"/>
        </w:rPr>
        <w:t>Α. Π.: Ο3067 ΕΞ 2025</w:t>
      </w:r>
    </w:p>
    <w:p>
      <w:pPr>
        <w:spacing w:before="240" w:after="240"/>
        <w:rPr>
          <w:lang w:val="el" w:eastAsia="el"/>
        </w:rPr>
      </w:pPr>
      <w:r>
        <w:rPr>
          <w:b/>
          <w:bCs/>
          <w:lang w:val="el" w:eastAsia="el"/>
        </w:rPr>
        <w:t>Αθήνα, 07 Νοεμβρίου 2025</w:t>
      </w:r>
    </w:p>
    <w:p>
      <w:pPr>
        <w:spacing w:before="240" w:after="240"/>
        <w:rPr>
          <w:lang w:val="el" w:eastAsia="el"/>
        </w:rPr>
      </w:pPr>
      <w:r>
        <w:rPr>
          <w:b/>
          <w:bCs/>
          <w:lang w:val="el" w:eastAsia="el"/>
        </w:rPr>
        <w:t>Ο. 3067</w:t>
      </w:r>
    </w:p>
    <w:p>
      <w:pPr>
        <w:spacing w:before="240" w:after="240"/>
        <w:rPr>
          <w:lang w:val="el" w:eastAsia="el"/>
        </w:rPr>
      </w:pPr>
      <w:r>
        <w:rPr>
          <w:b/>
          <w:bCs/>
          <w:lang w:val="el" w:eastAsia="el"/>
        </w:rPr>
        <w:t>ΠΡΟΣ: ΠΙΝΑΚΑ ΔΙΑΝΟΜΗΣ</w:t>
      </w:r>
    </w:p>
    <w:p>
      <w:pPr>
        <w:spacing w:before="240" w:after="240"/>
        <w:rPr>
          <w:lang w:val="el" w:eastAsia="el"/>
        </w:rPr>
      </w:pPr>
      <w:r>
        <w:rPr>
          <w:b/>
          <w:bCs/>
          <w:lang w:val="el" w:eastAsia="el"/>
        </w:rPr>
        <w:t>ΘΕΜΑ: Κοινοποίηση των διατάξεων των άρθρων 102 και 117 του ν. 5243/2025 «Ρυθμίσεις για την ενίσχυση της δημόσιας υγείας και την αναβάθμιση των υπηρεσιών υγείας» (187 Α΄/31.10.2025).</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102 και 117 του ν. 5243/2025 «Ρυθμίσεις για την ενίσχυση της δημόσιας υγείας και την αναβάθμιση των υπηρεσιών υγείας» (187 Α΄/31.10.2025).</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ν. 5243/2025 :</w:t>
      </w:r>
    </w:p>
    <w:p>
      <w:pPr>
        <w:spacing w:before="240" w:after="240"/>
        <w:rPr>
          <w:lang w:val="el" w:eastAsia="el"/>
        </w:rPr>
      </w:pPr>
      <w:r>
        <w:rPr>
          <w:b/>
          <w:bCs/>
          <w:lang w:val="el" w:eastAsia="el"/>
        </w:rPr>
        <w:t xml:space="preserve">1. </w:t>
      </w:r>
      <w:r>
        <w:rPr>
          <w:b/>
          <w:bCs/>
          <w:lang w:val="el" w:eastAsia="el"/>
        </w:rPr>
        <w:t>του άρθρου 102 «Ρύθμιση για το μη κερδοσκοπικό ίδρυμα με την επωνυμία «ΚΟΙΝΩΦΕΛΕΣ ΙΔΡΥΜΑ ΕΡΡΙΚΟΣ ΝΤΥΝΑΝ ΝΟΜΙΚΟ ΠΡΟΣΩΠΟ ΙΔΙΩΤΙΚΟΥ ΔΙΚΑΙΟΥ» και το σωματείο «ΕΛΛΗΝΙΚΟΣ ΕΡΥΘΡΟΣ ΣΤΑΥΡΟΣ»- Τροποποίηση παρ. 2 άρθρου δέκατου έκτου ν. 4286/2014»</w:t>
      </w:r>
    </w:p>
    <w:p>
      <w:pPr>
        <w:spacing w:before="240" w:after="240"/>
        <w:rPr>
          <w:lang w:val="el" w:eastAsia="el"/>
        </w:rPr>
      </w:pPr>
      <w:r>
        <w:rPr>
          <w:b/>
          <w:bCs/>
          <w:lang w:val="el" w:eastAsia="el"/>
        </w:rPr>
        <w:t xml:space="preserve">2. </w:t>
      </w:r>
      <w:r>
        <w:rPr>
          <w:b/>
          <w:bCs/>
          <w:lang w:val="el" w:eastAsia="el"/>
        </w:rPr>
        <w:t>του άρθρου 117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 Το άρθρο 102 του ν . 5243/2025 αφορά στην ευθύνη των μελών του Κ.Δ.Σ. του Ελληνικού Ερυθρού Σταυρού που έχουν διοριστεί με δικαστική απόφαση ή είναι αιρετά, καθώς και τα μέλη του Δ.Σ. του κοινωφελούς, μη κερδοσκοπικού ιδρύματος με την επωνυμία «ΚΟΙΝΩΦΕΛΕΣ ΙΔΡΥΜΑ ΕΡΡΙΚΟΣ ΝΤΥΝΑΝ ΝΠΙΔ» που εκλέχθηκαν από την παραπάνω διοίκηση.</w:t>
      </w:r>
    </w:p>
    <w:p>
      <w:pPr>
        <w:spacing w:before="240" w:after="240"/>
        <w:rPr>
          <w:lang w:val="el" w:eastAsia="el"/>
        </w:rPr>
      </w:pPr>
      <w:r>
        <w:rPr>
          <w:b/>
          <w:bCs/>
          <w:lang w:val="el" w:eastAsia="el"/>
        </w:rPr>
        <w:t>Β) Το άρθρο 117 του ν . 5243/2025 αφορά στην έναρξη ισχύος του.</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102 και 117 του ν. 5243/2025, ως εξής: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«Ρύθμιση για το μη κερδοσκοπικό ίδρυμα με την επωνυμία «ΚΟΙΝΩΦΕΛΕΣ ΙΔΡΥΜΑ ΕΡΡΙΚΟΣ ΝΤΥΝΑΝ ΝΟΜΙΚΟ ΠΡΟΣΩΠΟ ΙΔΙΩΤΙΚΟΥ ΔΙΚΑΙΟΥ» και το σωματείο «ΕΛΛΗΝΙΚΟΣ ΕΡΥΘΡΟΣ ΣΤΑΥΡΟΣ»- Τροποποίηση παρ. 2 άρθρου δέκατου έκτου ν. 4286/2014.</w:t>
      </w:r>
    </w:p>
    <w:p>
      <w:pPr>
        <w:spacing w:before="240" w:after="240"/>
        <w:rPr>
          <w:lang w:val="el" w:eastAsia="el"/>
        </w:rPr>
      </w:pPr>
      <w:r>
        <w:rPr>
          <w:b/>
          <w:bCs/>
          <w:lang w:val="el" w:eastAsia="el"/>
        </w:rPr>
        <w:t>Με τη διάταξη του άρθρου 102 του κοινοποιούμενου νόμου ορίζεται ότι στην παρ. 2 του άρθρου δέκατου έκτου του ν. 4286/2014 (Α' 194), περί της αντιμετώπισης των εξαιρετικά επειγουσών και απρόβλεπτων αναγκών του μη κερδοσκοπικού ιδρύματος με την επωνυμία «ΚΟΙΝΩΦΕΛΕΣ ΙΔΡΥΜΑ ΕΡΡΙΚΟΣ ΝΤΥΝΑΝ ΝΠΙΔ» και του σωματείου «ΕΛΛΗΝΙΚΟΣ ΕΡΥΘΡΟΣ ΣΤΑΥΡΟΣ», α) μετά από τις λέξεις «που έχουν διοριστεί με δικαστική απόφαση», προστίθενται οι λέξεις «ή είναι αιρετά», β) προστίθενται οι λέξεις «εκτός των περιπτώσεων δόλου και βαρειάς αμέλειας» και η παρ. 2 διαμορφώνεται ως εξής:</w:t>
      </w:r>
    </w:p>
    <w:p>
      <w:pPr>
        <w:spacing w:before="240" w:after="240"/>
        <w:rPr>
          <w:lang w:val="el" w:eastAsia="el"/>
        </w:rPr>
      </w:pPr>
      <w:r>
        <w:rPr>
          <w:b/>
          <w:bCs/>
          <w:lang w:val="el" w:eastAsia="el"/>
        </w:rPr>
        <w:t>«2. Τα μέλη του Κ.Δ.Σ. του Ελληνικού Ερυθρού Σταυρού που έχουν διοριστεί με δικαστική απόφαση ή είναι αιρετά, καθώς και τα μέλη του Δ.Σ. του κοινωφελούς, μη κερδοσκοπικού ιδρύματος με την επωνυμία «ΚΟΙΝΩΦΕΛΕΣ ΙΔΡΥΜΑ ΕΡΡΙΚΟΣ ΝΤΥΝΑΝ ΝΠΙΔ» που εκλέχθηκαν από την παραπάνω διοίκηση, δεν διώκονται, εκτός των περιπτώσεων δόλου και βαρειάς αμέλειας, για τις πράξεις και παραλείψεις τους που αφορούν σε φορολογικές, ασφαλιστικές και εργοδοτικές υποχρεώσεις τους, οι οποίες τελέσθηκαν κατά τη διάρκεια της προσωρινής θητείας τους, ούτε και για χρέη του σωματείου ή του ιδρύματος, που έγιναν ή γεννήθηκαν κατά την ίδια ως άνω περίοδο και ουδεμία ποινική, αστική ή άλλη ευθύνη έχουν για αυτά, ανεξάρτητα από το χρόνο βεβαίωσης τους.».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ισχύς του παρόντος αρχίζει από τη δημοσίευσή του στην Εφημερίδα της Κυβερνήσεως, με την επιφύλαξη των παρ. 2 και 3.</w:t>
      </w:r>
    </w:p>
    <w:p>
      <w:pPr>
        <w:spacing w:before="240" w:after="240"/>
        <w:rPr>
          <w:lang w:val="el" w:eastAsia="el"/>
        </w:rPr>
      </w:pPr>
      <w:r>
        <w:rPr>
          <w:b/>
          <w:bCs/>
          <w:lang w:val="el" w:eastAsia="el"/>
        </w:rPr>
        <w:t>Συνημμένα: Απόσπασμα του ΦΕΚ Α΄ 187/31.10.2025 (άρθρα 102,117 του ν. 5243/2025)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Γραφείο Γενικής Γραμματέως Φορολογικής Πολιτικής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Γραφείο Υπουργού Υγείας</w:t>
      </w:r>
    </w:p>
    <w:p>
      <w:pPr>
        <w:spacing w:before="240" w:after="240"/>
        <w:rPr>
          <w:lang w:val="el" w:eastAsia="el"/>
        </w:rPr>
      </w:pPr>
      <w:r>
        <w:rPr>
          <w:b/>
          <w:bCs/>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Άμεσης Φορολογίας – Τμήματα Α΄, Β΄</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Εφαρμογής Φορολογίας Κεφαλαίου &amp; Περιουσιολογίου</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Διεύθυνση Διαδικασιών Εισπράξεων και Επιστροφών- Τμ. Β΄</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ΑΥΓΕΡΙΝΟΠΟΥΛΟΥ ΠΗΝΕΛΟΠΗ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mailto:deef@aade.gr" TargetMode="External" /><Relationship Id="rId6" Type="http://schemas.openxmlformats.org/officeDocument/2006/relationships/hyperlink" Target="mailto:defk@aade.gr" TargetMode="External" /><Relationship Id="rId7" Type="http://schemas.openxmlformats.org/officeDocument/2006/relationships/hyperlink" Target="mailto:dideisep@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