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26/11/2025</w:t>
      </w:r>
    </w:p>
    <w:p>
      <w:pPr>
        <w:spacing w:before="240" w:after="240"/>
        <w:rPr>
          <w:lang w:val="el" w:eastAsia="el"/>
        </w:rPr>
      </w:pPr>
      <w:r>
        <w:rPr>
          <w:lang w:val="el" w:eastAsia="el"/>
        </w:rPr>
        <w:t>Α. Π.: Ο3069 ΕΞ 2025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24 Νοεμβρίου 2025</w:t>
      </w:r>
    </w:p>
    <w:p>
      <w:pPr>
        <w:spacing w:before="240" w:after="240"/>
        <w:rPr>
          <w:lang w:val="el" w:eastAsia="el"/>
        </w:rPr>
      </w:pPr>
      <w:r>
        <w:rPr>
          <w:b/>
          <w:bCs/>
          <w:lang w:val="el" w:eastAsia="el"/>
        </w:rPr>
        <w:t>ΓΕΝΙΚΗ ΔΙΕΥΘΥΝΣΗ ΦΟΡΟΛΟΓΙΑΣ ΔΙΕΥΘΥΝΣΗ ΕΦΑΡΜΟΓΗΣ ΕΜΜΕΣΗΣ ΦΟΡΟΛΟΓΙΑΣ ΤΜΗΜΑ Α΄</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deef@aade.gr</w:t>
        </w:r>
      </w:hyperlink>
    </w:p>
    <w:p>
      <w:pPr>
        <w:spacing w:before="240" w:after="240"/>
        <w:rPr>
          <w:lang w:val="el" w:eastAsia="el"/>
        </w:rPr>
      </w:pPr>
      <w:r>
        <w:rPr>
          <w:b/>
          <w:bCs/>
          <w:lang w:val="el" w:eastAsia="el"/>
        </w:rPr>
        <w:t>ΘΕΜΑ: «Κοινοποίηση διατάξεων του Ν. 5247/2025, με τον οποίο Κυρώνεται το Μνημόνιο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MΟU Σταδίου Ανάπτυξης Εννοιών Σπονδυλωτής GBAD). (ΦΕΚ Α΄ 203/18-11-2025)».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το πρώτο άρθρο του ν. 5247/2025 κυρώνεται το μνημόνιο κατανόησης μεταξύ των Υπουργείων Άμυνας, του Βασιλείου της Δανίας, της Ελληνικής Δημοκρατίας, της Ουγγαρίας της Ιταλικής Δημοκρατίας, του Βασιλείου των Κάτω Χωρών, του Βασιλείου της Νορβηγίας, της Δημοκρατίας της Σλοβενίας, του Βασιλείου της Ισπανίας, του Ηνωμένου Βασιλείου της Μεγάλης Βρετανίας και της Βόρειας Ιρλανδίας και του Ομοσπονδιακού Υπουργείο Άμυνας της Ομοσπονδιακής Δημοκρατίας της Γερμανίας,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MΟU Σταδίου Ανάπτυξης Εννοιών Σπονδυλωτής GBAD).</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w:t>
      </w:r>
    </w:p>
    <w:p>
      <w:pPr>
        <w:pStyle w:val="StructureList1"/>
        <w:spacing w:before="120" w:after="0"/>
        <w:rPr>
          <w:lang w:val="el" w:eastAsia="el"/>
        </w:rPr>
      </w:pPr>
      <w:r>
        <w:rPr>
          <w:lang w:val="el" w:eastAsia="el"/>
        </w:rPr>
        <w:t>α)</w:t>
      </w:r>
      <w:r>
        <w:rPr>
          <w:lang w:val="en" w:eastAsia="en"/>
        </w:rPr>
        <w:tab/>
      </w:r>
      <w:r>
        <w:rPr>
          <w:b/>
          <w:bCs/>
          <w:lang w:val="el" w:eastAsia="el"/>
        </w:rPr>
        <w:t>Άρθρο πρώτο του ν. 5247/2025 «Κύρωση του μνημονίου κατανόησης μεταξύ των Υπουργείων Άμυνας, του Βασιλείου της Δανίας, της Ελληνικής Δημοκρατίας, της Ουγγαρίας της Ιταλικής Δημοκρατίας, του Βασιλείου των Κάτω Χωρών, του Βασιλείου της Νορβηγίας, της Δημοκρατίας της Σλοβενίας, του Βασιλείου της Ισπανίας, του Ηνωμένου Βασιλείου της Μεγάλης Βρετανίας και της Βόρειας Ιρλανδίας και του Ομοσπονδιακού Υπουργείο Άμυνας της Ομοσπονδιακής Δημοκρατίας της Γερμανίας,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MΟU Σταδίου Ανάπτυξης Εννοιών Σπονδυλωτής GBAD), συμπεριλαμβανομένου του άρθρου 8 του Μνημονίου με το οποίο προβλέπονται εξαιρέσεις από φόρους, τελωνειακούς δασμούς και παρόμοιες χρεώσεις.</w:t>
      </w:r>
    </w:p>
    <w:p>
      <w:pPr>
        <w:pStyle w:val="StructureList1"/>
        <w:spacing w:before="120" w:after="0"/>
        <w:rPr>
          <w:lang w:val="el" w:eastAsia="el"/>
        </w:rPr>
      </w:pPr>
      <w:r>
        <w:rPr>
          <w:lang w:val="el" w:eastAsia="el"/>
        </w:rPr>
        <w:t>β)</w:t>
      </w:r>
      <w:r>
        <w:rPr>
          <w:lang w:val="en" w:eastAsia="en"/>
        </w:rPr>
        <w:tab/>
      </w:r>
      <w:r>
        <w:rPr>
          <w:b/>
          <w:bCs/>
          <w:lang w:val="el" w:eastAsia="el"/>
        </w:rPr>
        <w:t>Άρθρο δεύτερο του ν. 5247/2025 «Έναρξη ισχύος», με το οποίο ορίζεται ότι η ισχύς του παρόντος νόμου αρχίζει από τη δημοσίευσή του στην Εφημερίδα της Κυβερνήσεως και του Μνημονίου που κυρώνεται από την πλήρωση των προϋποθέσεων του δευτέρου εδαφίου της παρ. 1 του άρθρου 22 αυτού.</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τους εμπλεκόμενους στο μνημόνιο κατανόησης φορείς και το Δημόσιο.</w:t>
      </w:r>
    </w:p>
    <w:p>
      <w:pPr>
        <w:spacing w:before="240" w:after="240"/>
        <w:rPr>
          <w:lang w:val="el" w:eastAsia="el"/>
        </w:rPr>
      </w:pPr>
      <w:r>
        <w:rPr>
          <w:b/>
          <w:bCs/>
          <w:lang w:val="el" w:eastAsia="el"/>
        </w:rPr>
        <w:t>Κοινοποιούμε, για ενημέρωση και εφαρμογή, τις διατάξεις του πρώτου άρθρου του ν. 5247/2025, με τίτλο «Υπογραφή Μνημονίου Κατανόησης (MOU) σχετικά με το MOU του Σταδίου Ανάπτυξης Εννοιών Σπονδυλωτής Επίγειας Αεράμυνας (GBAD), συμπεριλαμβανομένου του άρθρου 8 του Μνημονίου με το οποίο προβλέπονται εξαιρέσεις από φόρους, τελωνειακούς δασμούς και παρόμοιες χρεώσεις, καθώς και του δευτέρου άρθρου του ν. 5247/2025, που αφορά την έναρξη ισχύος του εν λόγω νόμου ως εξής:</w:t>
      </w:r>
    </w:p>
    <w:p>
      <w:pPr>
        <w:spacing w:before="240" w:after="240"/>
        <w:rPr>
          <w:lang w:val="el" w:eastAsia="el"/>
        </w:rPr>
      </w:pPr>
      <w:r>
        <w:rPr>
          <w:b/>
          <w:bCs/>
          <w:lang w:val="el" w:eastAsia="el"/>
        </w:rPr>
        <w:t>Α. Άρθρο Πρώτο</w:t>
      </w:r>
    </w:p>
    <w:p>
      <w:pPr>
        <w:spacing w:before="240" w:after="240"/>
        <w:rPr>
          <w:lang w:val="el" w:eastAsia="el"/>
        </w:rPr>
      </w:pPr>
      <w:r>
        <w:rPr>
          <w:b/>
          <w:bCs/>
          <w:lang w:val="el" w:eastAsia="el"/>
        </w:rPr>
        <w:t>«Κύρωση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MΟU Σταδίου Ανάπτυξης Εννοιών Σπονδυλωτής GBAD)…..</w:t>
      </w:r>
    </w:p>
    <w:p>
      <w:pPr>
        <w:spacing w:before="240" w:after="240"/>
        <w:rPr>
          <w:lang w:val="el" w:eastAsia="el"/>
        </w:rPr>
      </w:pPr>
      <w:r>
        <w:rPr>
          <w:lang w:val="el" w:eastAsia="el"/>
        </w:rPr>
        <w:t xml:space="preserve">8. </w:t>
      </w:r>
      <w:r>
        <w:rPr>
          <w:b/>
          <w:bCs/>
          <w:lang w:val="el" w:eastAsia="el"/>
        </w:rPr>
        <w:t>ΦΟΡΟΙ, ΤΕΛΩΝΕΙΑΚΟΙ ΔΑΣΜΟΙ ΚΑΙ ΠΑΡΟΜΟΙΕΣ ΧΡΕΩΣΕΙΣ</w:t>
      </w:r>
    </w:p>
    <w:p>
      <w:pPr>
        <w:spacing w:before="240" w:after="240"/>
        <w:rPr>
          <w:lang w:val="el" w:eastAsia="el"/>
        </w:rPr>
      </w:pPr>
      <w:r>
        <w:rPr>
          <w:lang w:val="el" w:eastAsia="el"/>
        </w:rPr>
        <w:t xml:space="preserve">8.1 </w:t>
      </w:r>
      <w:r>
        <w:rPr>
          <w:b/>
          <w:bCs/>
          <w:lang w:val="el" w:eastAsia="el"/>
        </w:rPr>
        <w:t>Εφόσον υπάρχουν νόμοι και διαδικασίες των Συμμετεχόντων που το επιτρέπουν, οι Συμμετέχοντες θα προσπαθούν να διασφαλίσουν ότι οι άμεσα αναγνωρίσιμοι φόροι, τελωνειακοί δασμοί και παρόμοιες χρεώσεις ή ποσοτικοί και/ή ποιοτικοί περιορισμοί στις εισαγωγές και εξαγωγές δεν θα επιβάλλονται σε σχέση με την παράδοση του Σταδίου Ανάπτυξης Εννοιών Σπονδυλωτής GBAD.</w:t>
      </w:r>
    </w:p>
    <w:p>
      <w:pPr>
        <w:spacing w:before="240" w:after="240"/>
        <w:rPr>
          <w:lang w:val="el" w:eastAsia="el"/>
        </w:rPr>
      </w:pPr>
      <w:r>
        <w:rPr>
          <w:lang w:val="el" w:eastAsia="el"/>
        </w:rPr>
        <w:t xml:space="preserve">8.2 </w:t>
      </w:r>
      <w:r>
        <w:rPr>
          <w:b/>
          <w:bCs/>
          <w:lang w:val="el" w:eastAsia="el"/>
        </w:rPr>
        <w:t>Οι Συμμετέχοντες θα προσπαθήσουν να διασφαλίσουν ότι τέτοιοι φόροι, τελωνειακοί δασμοί και παρόμοιες χρεώσεις από τους οποίους διατίθεται απαλλαγή, όπως προαναφέρθηκε, δεν θα περιλαμβάνονται στην τιμή των πληροφοριών ή των υλικών που παράγονται σε σχέση με την παράδοση του Σταδίου Ανάπτυξης Εννοιών Σπονδυλωτής GBAD. Όλοι οι φόροι, οι δασμοί και/ή άλλες κυβερνητικές χρεώσεις θα εφαρμόζονται με τον πιο ευνοϊκό τρόπο για την ικανοποιητική εκτέλεση των διευθετήσεων που περιγράφονται στο παρόν MOU.</w:t>
      </w:r>
    </w:p>
    <w:p>
      <w:pPr>
        <w:spacing w:before="240" w:after="240"/>
        <w:rPr>
          <w:lang w:val="el" w:eastAsia="el"/>
        </w:rPr>
      </w:pPr>
      <w:r>
        <w:rPr>
          <w:lang w:val="el" w:eastAsia="el"/>
        </w:rPr>
        <w:t xml:space="preserve">8.3 </w:t>
      </w:r>
      <w:r>
        <w:rPr>
          <w:b/>
          <w:bCs/>
          <w:lang w:val="el" w:eastAsia="el"/>
        </w:rPr>
        <w:t>Αν επιβληθούν οι φόροι, τελωνειακοί δασμοί ή παρόμοιες χρώσεις, θα επιβαρύνουν τον Συμμετέχοντα στη χώρα του οποίου επιβάλλονται, ως κόστος σε αυτόν τον Συμμετέχοντα, πέραν του μεριδίου αυτού του Συμμετέχοντος στο Κόστος Σταδίου Ανάπτυξης Εννοιών Σπονδυλωτής GBAD.</w:t>
      </w:r>
    </w:p>
    <w:p>
      <w:pPr>
        <w:spacing w:before="240" w:after="240"/>
        <w:rPr>
          <w:lang w:val="el" w:eastAsia="el"/>
        </w:rPr>
      </w:pPr>
      <w:r>
        <w:rPr>
          <w:lang w:val="el" w:eastAsia="el"/>
        </w:rPr>
        <w:t xml:space="preserve">8.4 </w:t>
      </w:r>
      <w:r>
        <w:rPr>
          <w:b/>
          <w:bCs/>
          <w:lang w:val="el" w:eastAsia="el"/>
        </w:rPr>
        <w:t>Αν, για να εφαρμοστούν οι κανονισμοί της Ευρωπαϊκής Ένωσης (ΕΕ), είναι αναγκαίο να επιβληθούν δασμοί, τότε αυτοί θα καλυφθούν από τον τελικό αποδέκτη που είναι μέλος της Ευρωπαϊκής Ένωσης. Για αυτό τον λόγο, μέρη ή συναρτησιακά στοιχεία του εξοπλισμού που προέρχονται εκτός της Ευρωπαϊκής Ένωσης θα προχωρούν στον τελικό τους προορισμό, συνοδευόμενα από το σχετικό έγγραφο τελωνείου που θα δίνει τη δυνατότητα πραγματοποίησης διακανονισμού δασμών».</w:t>
      </w:r>
    </w:p>
    <w:p>
      <w:pPr>
        <w:spacing w:before="240" w:after="240"/>
        <w:rPr>
          <w:lang w:val="el" w:eastAsia="el"/>
        </w:rPr>
      </w:pPr>
      <w:r>
        <w:rPr>
          <w:b/>
          <w:bCs/>
          <w:lang w:val="el" w:eastAsia="el"/>
        </w:rPr>
        <w:t>Β. Άρθρο δεύτερο «Έναρξη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και του Μνημονίου που κυρώνεται από την πλήρωση των προϋποθέσεων του δευτέρου εδαφίου της παρ. 1 του άρθρου 22 αυτού.</w:t>
      </w:r>
    </w:p>
    <w:p>
      <w:pPr>
        <w:spacing w:before="240" w:after="240"/>
        <w:rPr>
          <w:lang w:val="el" w:eastAsia="el"/>
        </w:rPr>
      </w:pPr>
      <w:r>
        <w:rPr>
          <w:b/>
          <w:bCs/>
          <w:lang w:val="el" w:eastAsia="el"/>
        </w:rPr>
        <w:t>Συνημμένο: Αποσπάσματα του ΦΕΚ Α΄203/18-11-2025.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ΠΙΤΣΙΛΗΣ ΓΕΩΡΓΙΟΣ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6.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8. </w:t>
      </w:r>
      <w:r>
        <w:rPr>
          <w:b/>
          <w:bCs/>
          <w:lang w:val="el" w:eastAsia="el"/>
        </w:rPr>
        <w:t>Γραφείο Υπουργού Εθνικής Άμυνας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Γραφειο Προϊσταμένου Γενικής Διεύθυνσης Τελωνείων &amp; Ε.Φ.Κ.</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Έμμεσης Φορολογίας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Διεύθυνση Ε.Φ.Κ &amp; Φ.Π.Α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