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Αθήνα, 26/11/2025</w:t>
      </w:r>
    </w:p>
    <w:p>
      <w:pPr>
        <w:pStyle w:val="Title"/>
        <w:spacing w:before="120" w:after="360"/>
        <w:rPr>
          <w:lang w:val="el" w:eastAsia="el"/>
        </w:rPr>
      </w:pPr>
      <w:r>
        <w:rPr>
          <w:b/>
          <w:bCs/>
          <w:lang w:val="el" w:eastAsia="el"/>
        </w:rPr>
        <w:t>Α. Π.: Ο3070 ΕΞ 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3. ΔΙΕΥΘΥΝΣΗ ΕΦΑΡΜΟΓΗΣ ΕΜΜΕΣΗΣ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4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2131410671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deef@aade.gr</w:t>
              </w:r>
            </w:hyperlink>
          </w:p>
        </w:tc>
      </w:tr>
    </w:tbl>
    <w:p>
      <w:pPr>
        <w:pStyle w:val="PreambelText"/>
        <w:spacing w:before="240" w:after="240"/>
        <w:rPr>
          <w:lang w:val="el" w:eastAsia="el"/>
        </w:rPr>
      </w:pPr>
      <w:r>
        <w:rPr>
          <w:b/>
          <w:bCs/>
          <w:lang w:val="el" w:eastAsia="el"/>
        </w:rPr>
        <w:t>ΘΕΜΑ: Κοινοποίηση των διατάξεων των άρθρων πρώτου και δεύτερου του ν. 5248/2025 «Κύρωση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 (Α΄204)</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ΑΝΤΙΚΕΙΜΕΝΟΚοινοποίηση των διατάξεων των άρθρων πρώτου και δεύτερου του ν. 5248/2025.</w:t>
      </w:r>
      <w:r>
        <w:rPr>
          <w:lang w:val="el" w:eastAsia="el"/>
        </w:rPr>
        <w:br/>
      </w: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5248/2025:</w:t>
      </w:r>
    </w:p>
    <w:p>
      <w:pPr>
        <w:pStyle w:val="PreambelText"/>
        <w:spacing w:before="240" w:after="240"/>
        <w:rPr>
          <w:lang w:val="el" w:eastAsia="el"/>
        </w:rPr>
      </w:pPr>
      <w:r>
        <w:rPr>
          <w:lang w:val="el" w:eastAsia="el"/>
        </w:rPr>
        <w:t xml:space="preserve">1. </w:t>
      </w:r>
      <w:r>
        <w:rPr>
          <w:b/>
          <w:bCs/>
          <w:lang w:val="el" w:eastAsia="el"/>
        </w:rPr>
        <w:t>του άρθρου πρώτου «Κύρωση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 Organisation for Joint Armament Co-operation (OCCAR)] και της Επιστολής Αποδοχής του Γενικού Διευθυντή της Γενικής Διεύθυνσης Αμυντικών Εξοπλισμών και Επενδύσεων»</w:t>
      </w:r>
    </w:p>
    <w:p>
      <w:pPr>
        <w:pStyle w:val="PreambelText"/>
        <w:spacing w:before="240" w:after="240"/>
        <w:rPr>
          <w:lang w:val="el" w:eastAsia="el"/>
        </w:rPr>
      </w:pPr>
      <w:r>
        <w:rPr>
          <w:lang w:val="el" w:eastAsia="el"/>
        </w:rPr>
        <w:t xml:space="preserve">2. </w:t>
      </w:r>
      <w:r>
        <w:rPr>
          <w:b/>
          <w:bCs/>
          <w:lang w:val="el" w:eastAsia="el"/>
        </w:rPr>
        <w:t>του άρθρου δεύτερου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πρώτο αφορά στη 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 Organisation for Joint Armament Co-operation (OCCAR)] και της Επιστολής Αποδοχής του Γενικού Διευθυντή της Γενικής Διεύθυνσης Αμυντικών Εξοπλισμών και Επενδύσεων.</w:t>
      </w:r>
    </w:p>
    <w:p>
      <w:pPr>
        <w:pStyle w:val="PreambelText"/>
        <w:spacing w:before="240" w:after="240"/>
        <w:rPr>
          <w:lang w:val="el" w:eastAsia="el"/>
        </w:rPr>
      </w:pPr>
      <w:r>
        <w:rPr>
          <w:lang w:val="el" w:eastAsia="el"/>
        </w:rPr>
        <w:t xml:space="preserve">2. </w:t>
      </w:r>
      <w:r>
        <w:rPr>
          <w:b/>
          <w:bCs/>
          <w:lang w:val="el" w:eastAsia="el"/>
        </w:rPr>
        <w:t>Το άρθρο δεύτερο αφορά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πρώτου (μετά της Επιστολής Προσφοράς, της Επιστολής Αποδοχής και των Παραρτημάτων Ι, ΙΙ και ΙΙΙ αυτής) και δεύτερου του ν. 5248/2025, ως ακολούθως:</w:t>
      </w:r>
    </w:p>
    <w:p>
      <w:pPr>
        <w:pStyle w:val="Heading6"/>
        <w:spacing w:before="240" w:after="240"/>
        <w:rPr>
          <w:lang w:val="el" w:eastAsia="el"/>
        </w:rPr>
      </w:pPr>
      <w:r>
        <w:rPr>
          <w:b/>
          <w:bCs/>
          <w:lang w:val="el" w:eastAsia="el"/>
        </w:rPr>
        <w:t xml:space="preserve">Άρθρο πρώτο </w:t>
      </w:r>
    </w:p>
    <w:p>
      <w:pPr>
        <w:pStyle w:val="Heading6"/>
        <w:spacing w:before="240" w:after="240"/>
        <w:rPr>
          <w:lang w:val="el" w:eastAsia="el"/>
        </w:rPr>
      </w:pPr>
      <w:r>
        <w:rPr>
          <w:b/>
          <w:bCs/>
          <w:lang w:val="el" w:eastAsia="el"/>
        </w:rPr>
        <w:t>«Κύρωση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 Organisation for Joint Armament Co-operation (OCCAR)] και της Επιστολής Αποδοχής του Γενικού Διευθυντή της Γενικής Διεύθυνσης Αμυντικών Εξοπλισμών και Επενδύσεων»</w:t>
      </w:r>
    </w:p>
    <w:p>
      <w:pPr>
        <w:spacing w:before="240" w:after="240"/>
        <w:rPr>
          <w:lang w:val="el" w:eastAsia="el"/>
        </w:rPr>
      </w:pPr>
      <w:r>
        <w:rPr>
          <w:b/>
          <w:bCs/>
          <w:lang w:val="el" w:eastAsia="el"/>
        </w:rPr>
        <w:t>Με το άρθρο πρώτο του κοινοποιούμενου νόμου κυρώνονται και έχουν την ισχύ, που ορίζει η παρ. 1 του άρθρου 28 του Συντάγματος, η Επιστολή Προσφοράς του Προέδρου του Διοικητικού Συμβουλίου του Οργανισμού για τη Συνεργασία στους Κοινούς Εξοπλισμούς [Organisation Conjointe de Coopération en matière d’Armement/Organisation for Joint Armament Co-operation (OCCAR)], η οποία υπεγράφη την 24η Μαΐου 2023 στο Βερολίνο και η Επιστολή Αποδοχής του Γενικού Διευθυντή της Γενικής Διεύθυνσης Αμυντικών Εξοπλισμών και Επενδύσεων του Υπουργείου Εθνικής Άμυνας της Ελληνικής Δημοκρατίας, η οποία υπεγράφη την 1η Ιουνίου 2023 στην Αθήνα, που από κοινού μαζί με τα Παραρτήματά τους συναποτελούν τη Συμφωνία μεταξύ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 το κείμενο των οποίων, σε πρωτότυπο στην αγγλική γλώσσα και σε μετάφραση στην ελληνική έχει όπως παρατίθεται στο παρόν άρθρο του κοινοποιούμενου νόμου.</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δεύτερο του κοινοποιούμενου νόμου ορίζεται ότι η ισχύς του αρχίζει από τη δημοσίευσή του στην Εφημερίδα της Κυβερνήσεως και της Συμφωνίας που κυρώνεται, από την πλήρωση των προϋποθέσεων των επιστολών που την απαρτίζουν.</w:t>
      </w:r>
    </w:p>
    <w:p>
      <w:pPr>
        <w:spacing w:before="240" w:after="240"/>
        <w:rPr>
          <w:lang w:val="el" w:eastAsia="el"/>
        </w:rPr>
      </w:pPr>
      <w:r>
        <w:rPr>
          <w:b/>
          <w:bCs/>
          <w:lang w:val="el" w:eastAsia="el"/>
        </w:rPr>
        <w:t>Συνημμένα: ΦΕΚ Α΄204/19.11.2025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