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04/12/2025</w:t>
      </w:r>
    </w:p>
    <w:p>
      <w:pPr>
        <w:pStyle w:val="PreambelText"/>
        <w:spacing w:before="240" w:after="240"/>
        <w:rPr>
          <w:lang w:val="el" w:eastAsia="el"/>
        </w:rPr>
      </w:pPr>
      <w:r>
        <w:rPr>
          <w:lang w:val="el" w:eastAsia="el"/>
        </w:rPr>
        <w:t>Α. Π.: Εισερχ. Ο3072 ΕΞ 2025</w:t>
      </w:r>
    </w:p>
    <w:p>
      <w:pPr>
        <w:pStyle w:val="PreambelText"/>
        <w:spacing w:before="240" w:after="240"/>
        <w:rPr>
          <w:lang w:val="el" w:eastAsia="el"/>
        </w:rPr>
      </w:pPr>
      <w:r>
        <w:rPr>
          <w:lang w:val="el" w:eastAsia="el"/>
        </w:rPr>
        <w:t>Α. Π. Αποστολέα: Ο3072 ΕΞ 2025</w:t>
      </w:r>
    </w:p>
    <w:p>
      <w:pPr>
        <w:pStyle w:val="PreambelText"/>
        <w:spacing w:before="240" w:after="240"/>
        <w:rPr>
          <w:lang w:val="el" w:eastAsia="el"/>
        </w:rPr>
      </w:pPr>
      <w:r>
        <w:rPr>
          <w:lang w:val="el" w:eastAsia="el"/>
        </w:rPr>
        <w:t>Ημ/νία Αποστολής: 04/12/2025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1. ΔΙΕΥΘΥΝΣΗ ΔΙΑΔΙΚΑΣΙΩΝ ΕΙΣΠΡΑΞΕΩΝ</w:t>
      </w:r>
    </w:p>
    <w:p>
      <w:pPr>
        <w:pStyle w:val="PreambelText"/>
        <w:spacing w:before="240" w:after="240"/>
        <w:rPr>
          <w:lang w:val="el" w:eastAsia="el"/>
        </w:rPr>
      </w:pPr>
      <w:r>
        <w:rPr>
          <w:b/>
          <w:bCs/>
          <w:lang w:val="el" w:eastAsia="el"/>
        </w:rPr>
        <w:t>Αθήνα, 1 Δεκεμβρίου 2025</w:t>
      </w:r>
    </w:p>
    <w:p>
      <w:pPr>
        <w:pStyle w:val="PreambelText"/>
        <w:spacing w:before="240" w:after="240"/>
        <w:rPr>
          <w:lang w:val="el" w:eastAsia="el"/>
        </w:rPr>
      </w:pPr>
      <w:r>
        <w:rPr>
          <w:b/>
          <w:bCs/>
          <w:lang w:val="el" w:eastAsia="el"/>
        </w:rPr>
        <w:t>ΚΑΙ ΕΠΙΣΤΡΟΦΩΝ</w:t>
      </w:r>
    </w:p>
    <w:p>
      <w:pPr>
        <w:pStyle w:val="PreambelText"/>
        <w:spacing w:before="240" w:after="240"/>
        <w:rPr>
          <w:lang w:val="el" w:eastAsia="el"/>
        </w:rPr>
      </w:pPr>
      <w:r>
        <w:rPr>
          <w:b/>
          <w:bCs/>
          <w:lang w:val="el" w:eastAsia="el"/>
        </w:rPr>
        <w:t>ΤΜΗΜΑΤΑ Α΄ Ταχ. Δ/νση Ταχ. Κώδικας</w:t>
      </w:r>
    </w:p>
    <w:p>
      <w:pPr>
        <w:pStyle w:val="PreambelText"/>
        <w:spacing w:before="240" w:after="240"/>
        <w:rPr>
          <w:lang w:val="el" w:eastAsia="el"/>
        </w:rPr>
      </w:pPr>
      <w:r>
        <w:rPr>
          <w:b/>
          <w:bCs/>
          <w:lang w:val="el" w:eastAsia="el"/>
        </w:rPr>
        <w:t>Tηλέφωνο Email</w:t>
      </w:r>
    </w:p>
    <w:p>
      <w:pPr>
        <w:pStyle w:val="PreambelText"/>
        <w:spacing w:before="240" w:after="240"/>
        <w:rPr>
          <w:lang w:val="el" w:eastAsia="el"/>
        </w:rPr>
      </w:pPr>
      <w:r>
        <w:rPr>
          <w:b/>
          <w:bCs/>
          <w:lang w:val="el" w:eastAsia="el"/>
        </w:rPr>
        <w:t>Url</w:t>
      </w:r>
    </w:p>
    <w:p>
      <w:pPr>
        <w:pStyle w:val="PreambelText"/>
        <w:spacing w:before="240" w:after="240"/>
        <w:rPr>
          <w:lang w:val="el" w:eastAsia="el"/>
        </w:rPr>
      </w:pPr>
      <w:r>
        <w:rPr>
          <w:b/>
          <w:bCs/>
          <w:lang w:val="el" w:eastAsia="el"/>
        </w:rPr>
        <w:t>Β΄</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 78, Ταύρος</w:t>
      </w:r>
    </w:p>
    <w:p>
      <w:pPr>
        <w:pStyle w:val="PreambelText"/>
        <w:spacing w:before="240" w:after="240"/>
        <w:rPr>
          <w:lang w:val="el" w:eastAsia="el"/>
        </w:rPr>
      </w:pPr>
      <w:r>
        <w:rPr>
          <w:b/>
          <w:bCs/>
          <w:lang w:val="el" w:eastAsia="el"/>
        </w:rPr>
        <w:t>: 2131410121</w:t>
      </w:r>
    </w:p>
    <w:p>
      <w:pPr>
        <w:pStyle w:val="PreambelText"/>
        <w:spacing w:before="240" w:after="240"/>
        <w:rPr>
          <w:lang w:val="el" w:eastAsia="el"/>
        </w:rPr>
      </w:pPr>
      <w:r>
        <w:rPr>
          <w:b/>
          <w:bCs/>
          <w:lang w:val="el" w:eastAsia="el"/>
        </w:rPr>
        <w:t xml:space="preserve">: </w:t>
      </w:r>
      <w:hyperlink r:id="rId4" w:history="1">
        <w:r>
          <w:rPr>
            <w:rStyle w:val="Hyperlink"/>
            <w:b/>
            <w:bCs/>
            <w:color w:val="0000EE"/>
            <w:u w:color="0000EE"/>
            <w:lang w:val="el" w:eastAsia="el"/>
          </w:rPr>
          <w:t>dideisep@aade.gr</w:t>
        </w:r>
      </w:hyperlink>
    </w:p>
    <w:p>
      <w:pPr>
        <w:pStyle w:val="PreambelText"/>
        <w:spacing w:before="240" w:after="240"/>
        <w:rPr>
          <w:lang w:val="el" w:eastAsia="el"/>
        </w:rPr>
      </w:pPr>
      <w:r>
        <w:rPr>
          <w:b/>
          <w:bCs/>
          <w:lang w:val="el" w:eastAsia="el"/>
        </w:rPr>
        <w:t xml:space="preserve">: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2. ΔΙΕΥΘΥΝΣΗ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Α-Β</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w:t>
      </w:r>
    </w:p>
    <w:p>
      <w:pPr>
        <w:pStyle w:val="PreambelText"/>
        <w:spacing w:before="240" w:after="240"/>
        <w:rPr>
          <w:lang w:val="el" w:eastAsia="el"/>
        </w:rPr>
      </w:pPr>
      <w:r>
        <w:rPr>
          <w:b/>
          <w:bCs/>
          <w:lang w:val="el" w:eastAsia="el"/>
        </w:rPr>
        <w:t>Τηλέφωνο</w:t>
      </w:r>
    </w:p>
    <w:p>
      <w:pPr>
        <w:pStyle w:val="PreambelText"/>
        <w:spacing w:before="240" w:after="240"/>
        <w:rPr>
          <w:lang w:val="el" w:eastAsia="el"/>
        </w:rPr>
      </w:pPr>
      <w:r>
        <w:rPr>
          <w:b/>
          <w:bCs/>
          <w:lang w:val="el" w:eastAsia="el"/>
        </w:rPr>
        <w:t>Ε mail</w:t>
      </w:r>
    </w:p>
    <w:p>
      <w:pPr>
        <w:pStyle w:val="PreambelText"/>
        <w:spacing w:before="240" w:after="240"/>
        <w:rPr>
          <w:lang w:val="el" w:eastAsia="el"/>
        </w:rPr>
      </w:pPr>
      <w:r>
        <w:rPr>
          <w:b/>
          <w:bCs/>
          <w:lang w:val="el" w:eastAsia="el"/>
        </w:rPr>
        <w:t>Url</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 78, Ταύρος</w:t>
      </w:r>
    </w:p>
    <w:p>
      <w:pPr>
        <w:pStyle w:val="PreambelText"/>
        <w:spacing w:before="240" w:after="240"/>
        <w:rPr>
          <w:lang w:val="el" w:eastAsia="el"/>
        </w:rPr>
      </w:pPr>
      <w:r>
        <w:rPr>
          <w:b/>
          <w:bCs/>
          <w:lang w:val="el" w:eastAsia="el"/>
        </w:rPr>
        <w:t>: 2131410211, 1099</w:t>
      </w:r>
    </w:p>
    <w:p>
      <w:pPr>
        <w:pStyle w:val="PreambelText"/>
        <w:spacing w:before="240" w:after="240"/>
        <w:rPr>
          <w:lang w:val="el" w:eastAsia="el"/>
        </w:rPr>
      </w:pPr>
      <w:r>
        <w:rPr>
          <w:b/>
          <w:bCs/>
          <w:lang w:val="el" w:eastAsia="el"/>
        </w:rPr>
        <w:t xml:space="preserve">: </w:t>
      </w:r>
      <w:hyperlink r:id="rId6"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 xml:space="preserve">: </w:t>
      </w:r>
      <w:hyperlink r:id="rId7"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Θέμα: «Κοινοποίηση των διατάξεων των άρθρων 1 (Άρθρο τρίτο της υπό κύρωση Π.Ν.Π.), 2, 3 (παρ. 3) και 8 του ν. 5251/2025 (Α΄207) με τίτλο «Κύρωση της από 23.10.2025 Πράξης Νομοθετικού Περιεχομένου «Επείγουσες ρυθμίσεις για τη στήριξη του πρωτογενούς τομέα και την αντιμετώπιση της ζωονόσου της ευλογιάς» (Α΄ 183) και συναφείς διατάξεις»</w:t>
      </w:r>
    </w:p>
    <w:p>
      <w:pPr>
        <w:pStyle w:val="enacting"/>
        <w:spacing w:before="120" w:after="0"/>
        <w:rPr>
          <w:lang w:val="el" w:eastAsia="el"/>
        </w:rPr>
      </w:pPr>
      <w:r>
        <w:rPr>
          <w:b/>
          <w:bCs/>
          <w:lang w:val="el" w:eastAsia="el"/>
        </w:rPr>
        <w:t>ΠΕΡΙΛΗΨΗ</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1 (Άρθρο τρίτο της υπό κύρωση Π.Ν.Π.), 2 , 3 (παρ. 3) και 8 του ν. 5251/2025 (Α΄207).</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5251/2025:</w:t>
      </w:r>
    </w:p>
    <w:p>
      <w:pPr>
        <w:pStyle w:val="PreambelText"/>
        <w:spacing w:before="240" w:after="240"/>
        <w:rPr>
          <w:lang w:val="el" w:eastAsia="el"/>
        </w:rPr>
      </w:pPr>
      <w:r>
        <w:rPr>
          <w:lang w:val="el" w:eastAsia="el"/>
        </w:rPr>
        <w:t xml:space="preserve">1. </w:t>
      </w:r>
      <w:r>
        <w:rPr>
          <w:b/>
          <w:bCs/>
          <w:lang w:val="el" w:eastAsia="el"/>
        </w:rPr>
        <w:t>Άρθρο 1 (Άρθρο τρίτο της υπό κύρωση Π.Ν.Π.) Κύρωση της από 23.10.2025 Πράξης Νομοθετικού Περιεχομένου «Επείγουσες ρυθμίσεις για τη στήριξη του πρωτογενούς τομέα και την αντιμετώπιση της ζωονόσου της ευλογιάς»</w:t>
      </w:r>
    </w:p>
    <w:p>
      <w:pPr>
        <w:pStyle w:val="PreambelText"/>
        <w:spacing w:before="240" w:after="240"/>
        <w:rPr>
          <w:lang w:val="el" w:eastAsia="el"/>
        </w:rPr>
      </w:pPr>
      <w:r>
        <w:rPr>
          <w:lang w:val="el" w:eastAsia="el"/>
        </w:rPr>
        <w:t xml:space="preserve">2. </w:t>
      </w:r>
      <w:r>
        <w:rPr>
          <w:b/>
          <w:bCs/>
          <w:lang w:val="el" w:eastAsia="el"/>
        </w:rPr>
        <w:t>Άρθρο 2 (παρ. 1 &amp; 2) Έκτακτα μέτρα για την ενίσχυση των κτηνοτρόφων</w:t>
      </w:r>
    </w:p>
    <w:p>
      <w:pPr>
        <w:pStyle w:val="PreambelText"/>
        <w:spacing w:before="240" w:after="240"/>
        <w:rPr>
          <w:lang w:val="el" w:eastAsia="el"/>
        </w:rPr>
      </w:pPr>
      <w:r>
        <w:rPr>
          <w:lang w:val="el" w:eastAsia="el"/>
        </w:rPr>
        <w:t xml:space="preserve">3. </w:t>
      </w:r>
      <w:r>
        <w:rPr>
          <w:b/>
          <w:bCs/>
          <w:lang w:val="el" w:eastAsia="el"/>
        </w:rPr>
        <w:t>Άρθρο 3 (παρ. 3) Προσωπικό για την αντιμετώπιση της ευλογιάς των αιγοπροβάτων</w:t>
      </w:r>
    </w:p>
    <w:p>
      <w:pPr>
        <w:pStyle w:val="PreambelText"/>
        <w:spacing w:before="240" w:after="240"/>
        <w:rPr>
          <w:lang w:val="el" w:eastAsia="el"/>
        </w:rPr>
      </w:pPr>
      <w:r>
        <w:rPr>
          <w:lang w:val="el" w:eastAsia="el"/>
        </w:rPr>
        <w:t xml:space="preserve">4. </w:t>
      </w:r>
      <w:r>
        <w:rPr>
          <w:b/>
          <w:bCs/>
          <w:lang w:val="el" w:eastAsia="el"/>
        </w:rPr>
        <w:t>Άρθρο 8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lang w:val="el" w:eastAsia="el"/>
        </w:rPr>
        <w:t xml:space="preserve">1. </w:t>
      </w:r>
      <w:r>
        <w:rPr>
          <w:b/>
          <w:bCs/>
          <w:lang w:val="el" w:eastAsia="el"/>
        </w:rPr>
        <w:t>Οι διατάξεις του άρθρου 1 αφορούν στην κύρωση της από 23.10.2025 Πράξης Νομοθετικού Περιεχομένου «Επείγουσες ρυθμίσεις για τη στήριξη του πρωτογενούς τομέα και την αντιμετώπιση της ζωονόσου της ευλογιάς».</w:t>
      </w:r>
    </w:p>
    <w:p>
      <w:pPr>
        <w:pStyle w:val="PreambelText"/>
        <w:spacing w:before="240" w:after="240"/>
        <w:rPr>
          <w:lang w:val="el" w:eastAsia="el"/>
        </w:rPr>
      </w:pPr>
      <w:r>
        <w:rPr>
          <w:lang w:val="el" w:eastAsia="el"/>
        </w:rPr>
        <w:t xml:space="preserve">2. </w:t>
      </w:r>
      <w:r>
        <w:rPr>
          <w:b/>
          <w:bCs/>
          <w:lang w:val="el" w:eastAsia="el"/>
        </w:rPr>
        <w:t>Οι διατάξεις του άρθρου 2 αφορούν στα έκτακτα μέτρα που λαμβάνονται για την ενίσχυση των κτηνοτρόφων.</w:t>
      </w:r>
    </w:p>
    <w:p>
      <w:pPr>
        <w:pStyle w:val="PreambelText"/>
        <w:spacing w:before="240" w:after="240"/>
        <w:rPr>
          <w:lang w:val="el" w:eastAsia="el"/>
        </w:rPr>
      </w:pPr>
      <w:r>
        <w:rPr>
          <w:lang w:val="el" w:eastAsia="el"/>
        </w:rPr>
        <w:t xml:space="preserve">3. </w:t>
      </w:r>
      <w:r>
        <w:rPr>
          <w:b/>
          <w:bCs/>
          <w:lang w:val="el" w:eastAsia="el"/>
        </w:rPr>
        <w:t>Οι διατάξεις του άρθρου 3 αφορούν στον καθορισμό προσωπικού για την αντιμετώπιση της ευλογιάς των αιγοπροβάτων.</w:t>
      </w:r>
    </w:p>
    <w:p>
      <w:pPr>
        <w:pStyle w:val="PreambelText"/>
        <w:spacing w:before="240" w:after="240"/>
        <w:rPr>
          <w:lang w:val="el" w:eastAsia="el"/>
        </w:rPr>
      </w:pPr>
      <w:r>
        <w:rPr>
          <w:lang w:val="el" w:eastAsia="el"/>
        </w:rPr>
        <w:t xml:space="preserve">4. </w:t>
      </w:r>
      <w:r>
        <w:rPr>
          <w:b/>
          <w:bCs/>
          <w:lang w:val="el" w:eastAsia="el"/>
        </w:rPr>
        <w:t>Οι διατάξεις του άρθρου 8 αφορούν στην έναρξη ισχύος του κοινοποιούμενου νόμου.</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1 (Άρθρο τρίτο της υπό κύρωση Π.Ν.Π.), 2, 3 (παρ. 3) και 8 του ν. 5251/2025 (Α΄207), ως εξής: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«Κύρωση της από 23.10.2025 Πράξης Νομοθετικού Περιεχομένου «Επείγουσες ρυθμίσεις για τη στήριξη του πρωτογενούς τομέα και την αντιμετώπιση της ζωονόσου της ευλογιάς»»</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«Αφορολόγητο, ακατάσχετο και ανεκχώρητο ενισχύσεων που καταβάλλονται δυνάμει των υπ’ αρ. 208989/1.8.2025 και 208982/1.8.2025 κοινών υπουργικών αποφάσεων»</w:t>
      </w:r>
    </w:p>
    <w:p>
      <w:pPr>
        <w:spacing w:before="240" w:after="240"/>
        <w:rPr>
          <w:lang w:val="el" w:eastAsia="el"/>
        </w:rPr>
      </w:pPr>
      <w:r>
        <w:rPr>
          <w:b/>
          <w:bCs/>
          <w:lang w:val="el" w:eastAsia="el"/>
        </w:rPr>
        <w:t>Με το άρθρο τρίτο της υπό κύρωση Π.Ν.Π. του άρθρου 1 του κοινοποιούμενου νόμου ορίζεται ότι:</w:t>
      </w:r>
    </w:p>
    <w:p>
      <w:pPr>
        <w:spacing w:before="240" w:after="240"/>
        <w:rPr>
          <w:lang w:val="el" w:eastAsia="el"/>
        </w:rPr>
      </w:pPr>
      <w:r>
        <w:rPr>
          <w:b/>
          <w:bCs/>
          <w:lang w:val="el" w:eastAsia="el"/>
        </w:rPr>
        <w:t>«Οι ενισχύσεις που καταβάλλονται δυνάμει των υπ’ αρ. 208989/1.8.2025 (Β’ 4202) και 208982/1.8.2025 (Β’ 4203) κοινών αποφάσεων των Υπουργών Εθνικής Οικονομίας και Οικονομικών και Αγροτικής Ανάπτυξης και Τροφίμων, είναι αφορολόγητες, ακατάσχετες και ανεκχώρητες στα χέρια του Δημοσίου ή τρίτων, κατά παρέκκλιση κάθε άλλης γενικής ή ειδικής διάταξης, μη εφαρμοζόμενης της παρ. 1 του άρθρου 47 του Κώδικα Φορολογίας Εισοδήματος (ν. 4172/2013, Α’ 167). Σε περίπτωση διανομής ή κεφαλαιοποίησης των ενισχύσεων του πρώτου εδαφίου, αυτές δεν υπόκεινται σε οποιοδήποτε τέλος, εισφορά ή άλλη κράτηση υπέρ του Δημοσίου, δεν δεσμεύονται και δεν συμψηφίζονται με βεβαιωμένα χρέη προς το Δημόσιο, τα νομικά πρόσωπα δημοσίου δικαίου, τους οργανισμούς τοπικής αυτοδιοίκησης και τα νομικά πρόσωπά τους και τα ασφαλιστικά ταμεία ή πιστωτικά ιδρύματα και δεν υπολογίζονται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«Έκτακτα μέτρα για την ενίσχυση των κτηνοτρόφων»</w:t>
      </w:r>
    </w:p>
    <w:p>
      <w:pPr>
        <w:spacing w:before="240" w:after="240"/>
        <w:rPr>
          <w:lang w:val="el" w:eastAsia="el"/>
        </w:rPr>
      </w:pPr>
      <w:r>
        <w:rPr>
          <w:b/>
          <w:bCs/>
          <w:lang w:val="el" w:eastAsia="el"/>
        </w:rPr>
        <w:t>Με τo άρθρο 2 του κοινοποιούμενου νόμου ορίζεται ότι:</w:t>
      </w:r>
    </w:p>
    <w:p>
      <w:pPr>
        <w:spacing w:before="240" w:after="240"/>
        <w:rPr>
          <w:lang w:val="el" w:eastAsia="el"/>
        </w:rPr>
      </w:pPr>
      <w:r>
        <w:rPr>
          <w:b/>
          <w:bCs/>
          <w:lang w:val="el" w:eastAsia="el"/>
        </w:rPr>
        <w:t>«1. Παραγωγοί που διατηρούν εκμεταλλεύσεις αιγοπροβάτων, των οποίων το ζωικό κεφάλαιο πλήττεται από την επιζωοτία της ευλογιάς, των αιγοπροβάτων και της πανώλης των μικρών μηρυκαστικών, αποζημιώνονται άμεσα για τα θανατωθέντα ζώα και για την οικονομική επιβάρυνση που υφίστανται λόγω της έξαρσης της επιζωοτίας. Από τις αποζημιώσεις του</w:t>
      </w:r>
    </w:p>
    <w:p>
      <w:pPr>
        <w:spacing w:before="240" w:after="240"/>
        <w:rPr>
          <w:lang w:val="el" w:eastAsia="el"/>
        </w:rPr>
      </w:pPr>
      <w:r>
        <w:rPr>
          <w:b/>
          <w:bCs/>
          <w:lang w:val="el" w:eastAsia="el"/>
        </w:rPr>
        <w:t>πρώτου εδαφίου αποκλείονται οι παραγωγοί που προέβησαν σε παράνομο εμβολιασμό των ζώων τους ή δεν τήρησαν τα προβλεπόμενα μέτρα βιοασφάλειας.</w:t>
      </w:r>
    </w:p>
    <w:p>
      <w:pPr>
        <w:spacing w:before="240" w:after="240"/>
        <w:rPr>
          <w:lang w:val="el" w:eastAsia="el"/>
        </w:rPr>
      </w:pPr>
      <w:r>
        <w:rPr>
          <w:lang w:val="el" w:eastAsia="el"/>
        </w:rPr>
        <w:t xml:space="preserve">2. </w:t>
      </w:r>
      <w:r>
        <w:rPr>
          <w:b/>
          <w:bCs/>
          <w:lang w:val="el" w:eastAsia="el"/>
        </w:rPr>
        <w:t>Οι αποζημιώσεις της παρ. 1 είναι αφορολόγητες ανεκχώρητες και ακατάσχετες στα χέρια του Δημοσίου ή τρίτων, κατά παρέκκλιση κάθε γενικής και ειδικής διάταξης, μη εφαρμοζόμενης της παρ. 1 του άρθρου 47 του Κώδικα Φορολογίας Εισοδήματος (ν. 4172/2013, Α’ 167) σε περίπτωση διανομής ή κεφαλαιοποίησής τους, δεν υπόκεινται σε οποιοδήποτε τέλος, εισφορά ή άλλη κράτηση υπέρ του Δημοσίου, δεν δεσμεύονται και δεν συμψηφίζονται με βεβαιωμένα χρέη προς 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τα πιστωτικά ιδρύματα και δεν υπολογίζονται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«Προσωπικό για την αντιμετώπιση της ευλογιάς των αιγοπροβάτων» (παρ. 3)</w:t>
      </w:r>
    </w:p>
    <w:p>
      <w:pPr>
        <w:spacing w:before="240" w:after="240"/>
        <w:rPr>
          <w:lang w:val="el" w:eastAsia="el"/>
        </w:rPr>
      </w:pPr>
      <w:r>
        <w:rPr>
          <w:b/>
          <w:bCs/>
          <w:lang w:val="el" w:eastAsia="el"/>
        </w:rPr>
        <w:t>Με την παρ. 3 του άρθρου 3 του κοινοποιούμενου νόμου ορίζεται ότι:</w:t>
      </w:r>
    </w:p>
    <w:p>
      <w:pPr>
        <w:spacing w:before="240" w:after="240"/>
        <w:rPr>
          <w:lang w:val="el" w:eastAsia="el"/>
        </w:rPr>
      </w:pPr>
      <w:r>
        <w:rPr>
          <w:b/>
          <w:bCs/>
          <w:lang w:val="el" w:eastAsia="el"/>
        </w:rPr>
        <w:t>«3. Στο προσωπικό των παρ. 1 και 2 καταβάλλεται αποζημίωση για την εκτέλεση των καθηκόντων που ορίζονται σε αυτές, σε βάρος του τακτικού προϋπολογισμού του Υπουργείου Αγροτικής Ανάπτυξης και Τροφίμων κατόπιν ενίσχυσης από τις γενικές κρατικές δαπάνες του Υπουργείου Εθνικής Οικονομίας και Οικονομικών. Ειδικά ως προς το προσωπικό της παρ. 2, η αποζημίωση του πρώτου εδαφίου είναι αφορολόγητη ανεκχώρητη και ακατάσχετη στα χέρια του Δημοσίου ή τρίτων, κατά παρέκκλιση κάθε γενικής και ειδικής διάταξης, μη εφαρμοζόμενης της παρ. 1 του άρθρου 47 του Κώδικα Φορολογίας Εισοδήματος (ν. 4172/2013, Α΄ 167) σε περίπτωση διανομής ή κεφαλαιοποίησής της, δεν υπόκειται σε οποιοδήποτε τέλος, εισφορά ή άλλη κράτηση υπέρ του Δημοσίου, δεν δεσμεύεται και δεν συμψηφίζεται με βεβαιωμένα χρέη προς 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τα πιστωτικά ιδρύματα και δεν υπολογίζονται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το άρθρο 8 του κοινοποιούμενου νόμου ορίζεται ότι:</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b/>
          <w:bCs/>
          <w:lang w:val="el" w:eastAsia="el"/>
        </w:rPr>
        <w:t>Συνημμένα:</w:t>
      </w:r>
    </w:p>
    <w:p>
      <w:pPr>
        <w:spacing w:before="240" w:after="240"/>
        <w:rPr>
          <w:lang w:val="el" w:eastAsia="el"/>
        </w:rPr>
      </w:pPr>
      <w:r>
        <w:rPr>
          <w:b/>
          <w:bCs/>
          <w:lang w:val="el" w:eastAsia="el"/>
        </w:rPr>
        <w:t>Απόσπασμα του ΦΕΚ Α΄207/20.11.2025 (Άρθρα 1, 2, 3 και 8 του ν. 5251/2025)</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ΑΑΔΕ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Γενικού Γραμματέα Φορολογικής Πολιτικής</w:t>
      </w:r>
    </w:p>
    <w:p>
      <w:pPr>
        <w:pStyle w:val="MainText"/>
        <w:spacing w:before="120" w:after="0"/>
        <w:rPr>
          <w:lang w:val="el" w:eastAsia="el"/>
        </w:rPr>
      </w:pPr>
      <w:r>
        <w:rPr>
          <w:b/>
          <w:bCs/>
          <w:lang w:val="el" w:eastAsia="el"/>
        </w:rPr>
        <w:t>4.</w:t>
      </w:r>
      <w:r>
        <w:rPr>
          <w:lang w:val="el" w:eastAsia="el"/>
        </w:rPr>
        <w:t xml:space="preserve"> </w:t>
      </w:r>
      <w:r>
        <w:rPr>
          <w:b/>
          <w:bCs/>
          <w:lang w:val="el" w:eastAsia="el"/>
        </w:rPr>
        <w:t>Αποδέκτες Πίνακα Α΄(περ. 1 &amp; 4)</w:t>
      </w:r>
    </w:p>
    <w:p>
      <w:pPr>
        <w:pStyle w:val="MainText"/>
        <w:spacing w:before="120" w:after="0"/>
        <w:rPr>
          <w:lang w:val="el" w:eastAsia="el"/>
        </w:rPr>
      </w:pPr>
      <w:r>
        <w:rPr>
          <w:b/>
          <w:bCs/>
          <w:lang w:val="el" w:eastAsia="el"/>
        </w:rPr>
        <w:t>5.</w:t>
      </w:r>
      <w:r>
        <w:rPr>
          <w:lang w:val="el" w:eastAsia="el"/>
        </w:rPr>
        <w:t xml:space="preserve"> </w:t>
      </w:r>
      <w:r>
        <w:rPr>
          <w:b/>
          <w:bCs/>
          <w:lang w:val="el" w:eastAsia="el"/>
        </w:rPr>
        <w:t>Αποδέκτες Πίνακα Β΄(περ. 1 &amp; 3)</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Γενικού Διευθυντή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Γενικού Διευθυντή Φορολογικών Λειτουργιών</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Διευθύνσεις, Αυτοτελή Τμήματα και Αυτοτελή Γραφεία της ΓΔΦ</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Νομικής Υποστήριξης της ΑΑΔΕ</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Διαδικασιών Εισπράξεων και Επιστροφών</w:t>
      </w:r>
    </w:p>
    <w:p>
      <w:pPr>
        <w:pStyle w:val="MainText"/>
        <w:spacing w:before="120" w:after="0"/>
        <w:rPr>
          <w:lang w:val="el" w:eastAsia="el"/>
        </w:rPr>
      </w:pPr>
      <w:r>
        <w:rPr>
          <w:b/>
          <w:bCs/>
          <w:lang w:val="el" w:eastAsia="el"/>
        </w:rPr>
        <w:t>8.</w:t>
      </w:r>
      <w:r>
        <w:rPr>
          <w:lang w:val="el" w:eastAsia="el"/>
        </w:rPr>
        <w:t xml:space="preserve"> </w:t>
      </w:r>
      <w:r>
        <w:rPr>
          <w:b/>
          <w:bCs/>
          <w:lang w:val="el" w:eastAsia="el"/>
        </w:rPr>
        <w:t>Διεύθυνση Εφαρμογής Άμεσης Φορολογίας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ΜΠΙΝΤΟΣ ΓΡΗΓΟΡΙΟΣ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hyperlink" Target="mailto:deaf@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