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Μοσχάτο, 04/12/2025</w:t>
      </w:r>
    </w:p>
    <w:p>
      <w:pPr>
        <w:spacing w:before="240" w:after="240"/>
        <w:rPr>
          <w:lang w:val="el" w:eastAsia="el"/>
        </w:rPr>
      </w:pPr>
      <w:r>
        <w:rPr>
          <w:lang w:val="el" w:eastAsia="el"/>
        </w:rPr>
        <w:t>Α. Π.: Εισερχ. Ο3073 ΕΞ 2025</w:t>
      </w:r>
    </w:p>
    <w:p>
      <w:pPr>
        <w:spacing w:before="240" w:after="240"/>
        <w:rPr>
          <w:lang w:val="el" w:eastAsia="el"/>
        </w:rPr>
      </w:pPr>
      <w:r>
        <w:rPr>
          <w:lang w:val="el" w:eastAsia="el"/>
        </w:rPr>
        <w:t>Α. Π. Αποστολέα: Ο3073 ΕΞ 2025</w:t>
      </w:r>
    </w:p>
    <w:p>
      <w:pPr>
        <w:spacing w:before="240" w:after="240"/>
        <w:rPr>
          <w:lang w:val="el" w:eastAsia="el"/>
        </w:rPr>
      </w:pPr>
      <w:r>
        <w:rPr>
          <w:lang w:val="el" w:eastAsia="el"/>
        </w:rPr>
        <w:t>Ημ/νία Αποστολής: 04/12/2025</w:t>
      </w:r>
    </w:p>
    <w:p>
      <w:pPr>
        <w:spacing w:before="240" w:after="240"/>
        <w:rPr>
          <w:lang w:val="el" w:eastAsia="el"/>
        </w:rPr>
      </w:pPr>
      <w:r>
        <w:rPr>
          <w:b/>
          <w:bCs/>
          <w:lang w:val="el" w:eastAsia="el"/>
        </w:rPr>
        <w:t>Αθήνα, 3 Δεκεμβρίου 2025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dideisep@aade.gr</w:t>
              </w:r>
            </w:hyperlink>
          </w:p>
        </w:tc>
      </w:tr>
    </w:tbl>
    <w:p>
      <w:pPr>
        <w:spacing w:before="240" w:after="240"/>
        <w:rPr>
          <w:lang w:val="el" w:eastAsia="el"/>
        </w:rPr>
      </w:pPr>
      <w:r>
        <w:rPr>
          <w:b/>
          <w:bCs/>
          <w:lang w:val="el" w:eastAsia="el"/>
        </w:rPr>
        <w:t>ΠΡΟΣ: ΠΙΝΑΚΑ ΔΙΑΝΟΜΗΣ</w:t>
      </w:r>
    </w:p>
    <w:p>
      <w:pPr>
        <w:spacing w:before="240" w:after="240"/>
        <w:rPr>
          <w:lang w:val="el" w:eastAsia="el"/>
        </w:rPr>
      </w:pPr>
      <w:r>
        <w:rPr>
          <w:b/>
          <w:bCs/>
          <w:lang w:val="el" w:eastAsia="el"/>
        </w:rPr>
        <w:t>ΘΕΜΑ: Κοινοποίηση των διατάξεων των άρθρων 2 περ. γ, 8 παρ. 7 και 15, 34 και 43 παρ. 1 και 2 του ν. 5253/2025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 ΕΕ (Ευρωπαϊκός Κανονισμός για την ελευθερία των μέσων ενημέρωσης - EUROPEAN MEDIA FREEDOM ACT)» (Α΄212).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2 περ. γ ,8 παρ. 7 και 15, 34 και 43 παρ. 1 και 2 του ν. 5253/2025.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5253/2025:</w:t>
      </w:r>
    </w:p>
    <w:p>
      <w:pPr>
        <w:spacing w:before="240" w:after="240"/>
        <w:rPr>
          <w:lang w:val="el" w:eastAsia="el"/>
        </w:rPr>
      </w:pPr>
      <w:r>
        <w:rPr>
          <w:lang w:val="el" w:eastAsia="el"/>
        </w:rPr>
        <w:t xml:space="preserve">1. </w:t>
      </w:r>
      <w:r>
        <w:rPr>
          <w:b/>
          <w:bCs/>
          <w:lang w:val="el" w:eastAsia="el"/>
        </w:rPr>
        <w:t>του άρθρου 2 περ. (γ) «Αντικείμενο»</w:t>
      </w:r>
    </w:p>
    <w:p>
      <w:pPr>
        <w:spacing w:before="240" w:after="240"/>
        <w:rPr>
          <w:lang w:val="el" w:eastAsia="el"/>
        </w:rPr>
      </w:pPr>
      <w:r>
        <w:rPr>
          <w:lang w:val="el" w:eastAsia="el"/>
        </w:rPr>
        <w:t xml:space="preserve">2. </w:t>
      </w:r>
      <w:r>
        <w:rPr>
          <w:b/>
          <w:bCs/>
          <w:lang w:val="el" w:eastAsia="el"/>
        </w:rPr>
        <w:t>του άρθρου 8 παρ. 7 και 15 «Εξορθολογισμός διαδικασίας είσπραξης ανταποδοτικού τέλους για την παροχή δημόσιας ραδιοτηλεοπτικής υπηρεσίας - Προσθήκη άρθρου 6Α στον ν. 4173/2013»</w:t>
      </w:r>
    </w:p>
    <w:p>
      <w:pPr>
        <w:spacing w:before="240" w:after="240"/>
        <w:rPr>
          <w:lang w:val="el" w:eastAsia="el"/>
        </w:rPr>
      </w:pPr>
      <w:r>
        <w:rPr>
          <w:lang w:val="el" w:eastAsia="el"/>
        </w:rPr>
        <w:t xml:space="preserve">3. </w:t>
      </w:r>
      <w:r>
        <w:rPr>
          <w:b/>
          <w:bCs/>
          <w:lang w:val="el" w:eastAsia="el"/>
        </w:rPr>
        <w:t>του άρθρου 34 «Διοικητικές Κυρώσεις»</w:t>
      </w:r>
    </w:p>
    <w:p>
      <w:pPr>
        <w:spacing w:before="240" w:after="240"/>
        <w:rPr>
          <w:lang w:val="el" w:eastAsia="el"/>
        </w:rPr>
      </w:pPr>
      <w:r>
        <w:rPr>
          <w:lang w:val="el" w:eastAsia="el"/>
        </w:rPr>
        <w:t xml:space="preserve">4. </w:t>
      </w:r>
      <w:r>
        <w:rPr>
          <w:b/>
          <w:bCs/>
          <w:lang w:val="el" w:eastAsia="el"/>
        </w:rPr>
        <w:t>του άρθρου 43 παρ. 1 και 2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Η περ. (γ) του άρθρου 2 αφορά στο αντικείμενο του Α΄ μέρους του κοινοποιούμενου νόμου.</w:t>
      </w:r>
    </w:p>
    <w:p>
      <w:pPr>
        <w:spacing w:before="240" w:after="240"/>
        <w:rPr>
          <w:lang w:val="el" w:eastAsia="el"/>
        </w:rPr>
      </w:pPr>
      <w:r>
        <w:rPr>
          <w:lang w:val="el" w:eastAsia="el"/>
        </w:rPr>
        <w:t xml:space="preserve">2. </w:t>
      </w:r>
      <w:r>
        <w:rPr>
          <w:b/>
          <w:bCs/>
          <w:lang w:val="el" w:eastAsia="el"/>
        </w:rPr>
        <w:t>Οι παρ. 7 και 15 του άρθρου 8 αφορούν στον εξορθολογισμό της διαδικασίας είσπραξης ανταποδοτικού τέλους για την παροχή δημόσιας ραδιοτηλεοπτικής υπηρεσίας και την προσθήκη άρθρου 6Α στον ν. 4173/2013</w:t>
      </w:r>
    </w:p>
    <w:p>
      <w:pPr>
        <w:spacing w:before="240" w:after="240"/>
        <w:rPr>
          <w:lang w:val="el" w:eastAsia="el"/>
        </w:rPr>
      </w:pPr>
      <w:r>
        <w:rPr>
          <w:lang w:val="el" w:eastAsia="el"/>
        </w:rPr>
        <w:t xml:space="preserve">3. </w:t>
      </w:r>
      <w:r>
        <w:rPr>
          <w:b/>
          <w:bCs/>
          <w:lang w:val="el" w:eastAsia="el"/>
        </w:rPr>
        <w:t>Το άρθρο 34 αφορά στην επιβολή διοικητικών κυρώσεων στην περίπτωση παραβίασης των άρθρων 27 και 32 του κοινοποιούμενου νόμου.</w:t>
      </w:r>
    </w:p>
    <w:p>
      <w:pPr>
        <w:spacing w:before="240" w:after="240"/>
        <w:rPr>
          <w:lang w:val="el" w:eastAsia="el"/>
        </w:rPr>
      </w:pPr>
      <w:r>
        <w:rPr>
          <w:lang w:val="el" w:eastAsia="el"/>
        </w:rPr>
        <w:t xml:space="preserve">4. </w:t>
      </w:r>
      <w:r>
        <w:rPr>
          <w:b/>
          <w:bCs/>
          <w:lang w:val="el" w:eastAsia="el"/>
        </w:rPr>
        <w:t>Οι παρ. 1 και 2 του άρθρου 43 αφορούν στην έναρξη ισχύος των διατάξεων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2 περ. (γ), 8 παρ. 7 και 15,34 και 43 παρ. 1 και 2 του ν. 5253/2025, ως ακολούθως: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Με την περ. (γ) του κοινοποιούμενου άρθρου του ως άνω νόμου ορίζεται ότι αντικείμενο του μέρους Α’ αυτού είναι η συμπλήρωση της διαδικασίας είσπραξης του ανταποδοτικού τέλους και η ανάθεση της ταμειακής βεβαίωσης και της αναγκαστικής είσπραξης των απαιτήσεων που δεν εισπράττονται κατ’ έτος από τους προμηθευτές ηλεκτρικής ενέργειας στην Ανεξάρτητη Αρχή Δημοσίων Εσόδων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«Εξορθολογισμός διαδικασίας είσπραξης ανταποδοτικού τέλους για την παροχή δημόσιας ραδιοτηλεοπτικής υπηρεσίας - Προσθήκη άρθρου 6Α στον ν. 4173/2013»</w:t>
      </w:r>
    </w:p>
    <w:p>
      <w:pPr>
        <w:spacing w:before="240" w:after="240"/>
        <w:rPr>
          <w:lang w:val="el" w:eastAsia="el"/>
        </w:rPr>
      </w:pPr>
      <w:r>
        <w:rPr>
          <w:b/>
          <w:bCs/>
          <w:lang w:val="el" w:eastAsia="el"/>
        </w:rPr>
        <w:t>Με την παρ. (7) του κοινοποιούμενου άρθρου του ως άνω νόμου ορίζονται τα εξής: Η ετήσια εκκαθαριστική κατάσταση και η ετήσια ειδική εκκαθαριστική κατάσταση της παρ. 6 συνοδεύονται από αντίστοιχες εκθέσεις ορκωτών ελεγκτών λογιστών των προμηθευτών ηλεκτρικής ενέργειας περί της ορθότητας και της πληρότητας των υποβαλλόμενων στοιχείων και της ύπαρξης και τήρησης κατάλληλων διαδικασιών για τη διασφάλιση της συμμόρφωσης με την παρ. 1. Το κόστος της διενέργειας ελέγχου και σύνταξης της σχετικής έκθεσης βαρύνει την Ε.Ρ.Τ. Α.Ε. με διαδικασία που καθορίζεται με την κοινή απόφαση της παρ. 18.</w:t>
      </w:r>
    </w:p>
    <w:p>
      <w:pPr>
        <w:spacing w:before="240" w:after="240"/>
        <w:rPr>
          <w:lang w:val="el" w:eastAsia="el"/>
        </w:rPr>
      </w:pPr>
      <w:r>
        <w:rPr>
          <w:b/>
          <w:bCs/>
          <w:lang w:val="el" w:eastAsia="el"/>
        </w:rPr>
        <w:t>Μετά από την αποστολή της ετήσιας ειδικής εκκαθαριστικής κατάστασης της παρ. 6 στην Ε.Ρ.Τ. Α.Ε., οι προμηθευτές ηλεκτρικής ενέργειας διαγράφουν από τις απαιτήσεις τους τις ληξιπρόθεσμες απαιτήσεις από το ανταποδοτικό τέλος που συμπεριλήφθηκαν στην ετήσια ειδική εκκαθαριστική κατάσταση και, εφεξής, οι απαιτήσεις που έχουν διαγραφεί δεν εμφανίζονται στους λογαριασμούς κατανάλωσης ηλεκτρικής ενέργειας. Οι προμηθευτές ηλεκτρικής ενέργειας ενημερώνουν τα υπόχρεα πρόσωπα ότι οι ληξιπρόθεσμες οφειλές ανταποδοτικού τέλους βεβαιώνονται και εισπράττονται μέσω της Ανεξάρτητης Αρχής Δημοσίων Εσόδων (Α.Α.Δ.Ε.) σύμφωνα με τον Κώδικα Είσπραξης Δημοσίων Εσόδων (ν. 4978/2022, Α΄ 190).</w:t>
      </w:r>
    </w:p>
    <w:p>
      <w:pPr>
        <w:spacing w:before="240" w:after="240"/>
        <w:rPr>
          <w:lang w:val="el" w:eastAsia="el"/>
        </w:rPr>
      </w:pPr>
      <w:r>
        <w:rPr>
          <w:b/>
          <w:bCs/>
          <w:lang w:val="el" w:eastAsia="el"/>
        </w:rPr>
        <w:t>Με την παρ. (15) του κοινοποιούμενου άρθρου του ως άνω νόμου ορίζοντα τα εξής: ότι οι ληξιπρόθεσμες οφειλές από το ανταποδοτικό τέλος που δεν έχουν καταβληθεί από τα υπόχρεα πρόσωπα προς τους προμηθευτές ηλεκτρικής ενέργειας, μέχρι την έκδοση των ετήσιων εκκαθαριστικών καταστάσεων κάθε έτους, πλην των οφειλών οι οποίες έχουν υπαχθεί σε ρύθμιση μεταξύ των προμηθευτών ηλεκτρικής ενέργειας και των υπόχρεων προσώπων, η οποία τηρείται, όπως οι οφειλές αυτές προκύπτουν από τις ετήσιες εκκαθαριστικές</w:t>
      </w:r>
    </w:p>
    <w:p>
      <w:pPr>
        <w:spacing w:before="240" w:after="240"/>
        <w:rPr>
          <w:lang w:val="el" w:eastAsia="el"/>
        </w:rPr>
      </w:pPr>
      <w:r>
        <w:rPr>
          <w:b/>
          <w:bCs/>
          <w:lang w:val="el" w:eastAsia="el"/>
        </w:rPr>
        <w:t>καταστάσεις, εισπράττονται από την Α.Α.Δ.Ε., σύμφωνα με τον Κώδικα Είσπραξης Δημοσίων Εσόδων, υπέρ της Ε.Ρ.Τ. Α.Ε. Εκτελεστό τίτλο για την είσπραξη αποτελεί η απόφαση του Διοικητικού Συμβουλίου της Εταιρείας. Η διαδικασία της βεβαίωσης για την είσπραξη των οφειλόμενων ποσών διενεργείται από την Ε.Ρ.Τ. Α.Ε., μέσω των υπηρεσιών διαλειτουργικότητας, κατ’ εφαρμογή της υπό στοιχεία Α.1209/2.9.2021 απόφασης του Διοικητή της Α.Α.Δ.Ε. «Διαδικασία βεβαίωσης εσόδων υπέρ Δημοσίου και τρίτων και διαδικασία μείωσης εσόδων με ηλεκτρονικά μέσα των υπηρεσιών της διαλειτουργικότητας κατ’ εφαρμογή της παρ. 5 του άρθρου 2 του ν.δ. 356/1974 «Κώδικας Είσπραξης Δημοσίων Εσόδων (Α΄90)» (Β΄ 4053). Από το ποσό που εισπράττεται υπέρ της Ε.Ρ.Τ. Α.Ε. παρακρατείται, ως δαπάνη βεβαίωσης και είσπραξης, ποσοστό δέκα τοις εκατό (10%) κατά παρέκκλιση του τρίτου εδαφίου του άρθρου 98 του ν. 4270/2014 (Α΄ 143), το οποίο, κατά τα λοιπά, εφαρμόζεται αναλόγως. Τα οριζόμενα στην παρούσα, για τη βεβαίωση και είσπραξη του ανταποδοτικού τέλους, εφαρμόζονται αναλογικά και για τα λοιπά έσοδα της Ε.Ρ.Τ. Α.Ε. του άρθρου 6.</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Διοικητικές Κυρώσεις »</w:t>
      </w:r>
    </w:p>
    <w:p>
      <w:pPr>
        <w:spacing w:before="240" w:after="240"/>
        <w:rPr>
          <w:lang w:val="el" w:eastAsia="el"/>
        </w:rPr>
      </w:pPr>
      <w:r>
        <w:rPr>
          <w:b/>
          <w:bCs/>
          <w:lang w:val="el" w:eastAsia="el"/>
        </w:rPr>
        <w:t>Με το άρθρο 34 του κοινοποιούμενου νόμου ορίζονται τα εξής:</w:t>
      </w:r>
    </w:p>
    <w:p>
      <w:pPr>
        <w:spacing w:before="240" w:after="240"/>
        <w:rPr>
          <w:lang w:val="el" w:eastAsia="el"/>
        </w:rPr>
      </w:pPr>
      <w:r>
        <w:rPr>
          <w:b/>
          <w:bCs/>
          <w:lang w:val="el" w:eastAsia="el"/>
        </w:rPr>
        <w:t>«1. Σε περίπτωση παραβίασης των άρθρων 27 και 32, το Ε.Σ.Ρ., με ειδικά αιτιολογημένη απόφασή του και ύστερα από ακρόαση των ενδιαφερομένων, επιβάλλει στους παρόχους υπηρεσιών μέσων ενημέρωσης μία ή περισσότερες από τις παρακάτω κυρώσεις:</w:t>
      </w:r>
    </w:p>
    <w:p>
      <w:pPr>
        <w:spacing w:before="240" w:after="240"/>
        <w:rPr>
          <w:lang w:val="el" w:eastAsia="el"/>
        </w:rPr>
      </w:pPr>
      <w:r>
        <w:rPr>
          <w:b/>
          <w:bCs/>
          <w:lang w:val="el" w:eastAsia="el"/>
        </w:rPr>
        <w:t>α) σύσταση για συμμόρφωση σε συγκεκριμένη διάταξη, με προειδοποίηση επιβολής λοιπών κυρώσεων και β) πρόστιμο ύψους από πεντακόσια (500) έως δέκα χιλιάδες (10.000) ευρώ.</w:t>
      </w:r>
    </w:p>
    <w:p>
      <w:pPr>
        <w:spacing w:before="240" w:after="240"/>
        <w:rPr>
          <w:lang w:val="el" w:eastAsia="el"/>
        </w:rPr>
      </w:pPr>
      <w:r>
        <w:rPr>
          <w:lang w:val="el" w:eastAsia="el"/>
        </w:rPr>
        <w:t xml:space="preserve">2. </w:t>
      </w:r>
      <w:r>
        <w:rPr>
          <w:b/>
          <w:bCs/>
          <w:lang w:val="el" w:eastAsia="el"/>
        </w:rPr>
        <w:t>Για την επιβολή των παραπάνω κυρώσεων λαμβάνονται υπόψη, ιδίως, η βαρύτητα της παραβίασης και η ύπαρξη υποτροπών για τα θέματα των άρθρων 27 και 32.</w:t>
      </w:r>
    </w:p>
    <w:p>
      <w:pPr>
        <w:spacing w:before="240" w:after="240"/>
        <w:rPr>
          <w:lang w:val="el" w:eastAsia="el"/>
        </w:rPr>
      </w:pPr>
      <w:r>
        <w:rPr>
          <w:lang w:val="el" w:eastAsia="el"/>
        </w:rPr>
        <w:t xml:space="preserve">3. </w:t>
      </w:r>
      <w:r>
        <w:rPr>
          <w:b/>
          <w:bCs/>
          <w:lang w:val="el" w:eastAsia="el"/>
        </w:rPr>
        <w:t>Τα πρόστιμα που επιβάλλει το Ε.Σ.Ρ. με βάση το παρόν, καταβάλλονται υπέρ του Δημοσίου και ποσοστό πενήντα τοις εκατό (50%) από αυτά αποδίδεται, μέσω του κρατικού προϋπολογισμού, στο Ε.Σ.Ρ. για την ενίσχυση του εποπτικού του ρόλου. Η είσπραξη των σχετικών ποσών γίνεται με τη διαδικασία του Κώδικα Είσπραξης Δημοσίων Εσόδων (ν. 4978/2022, Α’ 190).»</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Με την παρ. 1 του κοινοποιούμενου άρθρου του ως άνω νόμου ορίζεται ότι η ισχύς του παρόντος αρχίζει από τη δημοσίευσή του στην Εφημερίδα της Κυβερνήσεως, με την επιφύλαξη της παρ. 2.</w:t>
      </w:r>
    </w:p>
    <w:p>
      <w:pPr>
        <w:spacing w:before="240" w:after="240"/>
        <w:rPr>
          <w:lang w:val="el" w:eastAsia="el"/>
        </w:rPr>
      </w:pPr>
      <w:r>
        <w:rPr>
          <w:b/>
          <w:bCs/>
          <w:lang w:val="el" w:eastAsia="el"/>
        </w:rPr>
        <w:t>Με την παρ. 2 του κοινοποιούμενου άρθρου του ως άνω νόμου ορίζεται ότι η ισχύς των παρ. 1 έως 15 του άρθρου 6Α του ν. 4173/2013 (Α’ 169), όπως προστίθενται με το άρθρο 8 του παρόντος νόμου, αρχίζει την 1η Σεπτεμβρίου 2026.</w:t>
      </w:r>
    </w:p>
    <w:p>
      <w:pPr>
        <w:spacing w:before="240" w:after="240"/>
        <w:rPr>
          <w:lang w:val="el" w:eastAsia="el"/>
        </w:rPr>
      </w:pPr>
      <w:r>
        <w:rPr>
          <w:b/>
          <w:bCs/>
          <w:lang w:val="el" w:eastAsia="el"/>
        </w:rPr>
        <w:t>Συνημμένα: Απόσπασμα του ΦΕΚ Α΄212/25.11.2025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ΕΥΘΥΜΙΟΣ ΣΑΙΤΗΣ</w:t>
      </w:r>
    </w:p>
    <w:p>
      <w:pPr>
        <w:spacing w:before="240" w:after="240"/>
        <w:rPr>
          <w:lang w:val="el" w:eastAsia="el"/>
        </w:rPr>
      </w:pPr>
      <w:r>
        <w:rPr>
          <w:b/>
          <w:bCs/>
          <w:lang w:val="el" w:eastAsia="el"/>
        </w:rPr>
        <w:t>(ΔΔΑΔ Γ1049531ΕΞ2025/2.5.2025)</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 Α, Γραμματεία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