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09/12/2025</w:t>
      </w:r>
    </w:p>
    <w:p>
      <w:pPr>
        <w:pStyle w:val="PreambelText"/>
        <w:spacing w:before="240" w:after="240"/>
        <w:rPr>
          <w:lang w:val="el" w:eastAsia="el"/>
        </w:rPr>
      </w:pPr>
      <w:r>
        <w:rPr>
          <w:lang w:val="el" w:eastAsia="el"/>
        </w:rPr>
        <w:t>Α. Π.: Ο3075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Α΄,Β΄</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2131410115</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ΘΕΜΑ: Κοινοποίηση των διατάξεων των άρθρων 50, 51 παρ. 2, 60 και 64 παρ. 1 του ν. 5255/2025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(Α΄219).</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50, 51 παρ. 2, 60 και 64 παρ. 1 του ν. 5255/2025 (Α΄219).</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5255/2025 (Α΄219):</w:t>
      </w:r>
    </w:p>
    <w:p>
      <w:pPr>
        <w:pStyle w:val="PreambelText"/>
        <w:spacing w:before="240" w:after="240"/>
        <w:rPr>
          <w:lang w:val="el" w:eastAsia="el"/>
        </w:rPr>
      </w:pPr>
      <w:r>
        <w:rPr>
          <w:b/>
          <w:bCs/>
          <w:lang w:val="el" w:eastAsia="el"/>
        </w:rPr>
        <w:t xml:space="preserve">1. </w:t>
      </w:r>
      <w:r>
        <w:rPr>
          <w:b/>
          <w:bCs/>
          <w:lang w:val="el" w:eastAsia="el"/>
        </w:rPr>
        <w:t>του άρθρου 50 «Αξιοποίηση κινήτρου φορολογικής απαλλαγής σε επενδυτικά σχέδια - Τροποποίηση άρθρου 11 ν. 5122/2024»</w:t>
      </w:r>
    </w:p>
    <w:p>
      <w:pPr>
        <w:pStyle w:val="PreambelText"/>
        <w:spacing w:before="240" w:after="240"/>
        <w:rPr>
          <w:lang w:val="el" w:eastAsia="el"/>
        </w:rPr>
      </w:pPr>
      <w:r>
        <w:rPr>
          <w:b/>
          <w:bCs/>
          <w:lang w:val="el" w:eastAsia="el"/>
        </w:rPr>
        <w:t xml:space="preserve">2. </w:t>
      </w:r>
      <w:r>
        <w:rPr>
          <w:b/>
          <w:bCs/>
          <w:lang w:val="el" w:eastAsia="el"/>
        </w:rPr>
        <w:t>του άρθρου 51 (παρ. 2) «Εμβληματικές Επενδύσεις Εξαιρετικής Σημασίας και επενδυτικά κίνητρα - Τροποποίηση περ. γ) παρ. 1 άρθρου 2, παρ. 3 άρθρου 8 και παρ. 4 άρθρου 10 ν. 4864/2021»</w:t>
      </w:r>
    </w:p>
    <w:p>
      <w:pPr>
        <w:pStyle w:val="PreambelText"/>
        <w:spacing w:before="240" w:after="240"/>
        <w:rPr>
          <w:lang w:val="el" w:eastAsia="el"/>
        </w:rPr>
      </w:pPr>
      <w:r>
        <w:rPr>
          <w:b/>
          <w:bCs/>
          <w:lang w:val="el" w:eastAsia="el"/>
        </w:rPr>
        <w:t xml:space="preserve">3. </w:t>
      </w:r>
      <w:r>
        <w:rPr>
          <w:b/>
          <w:bCs/>
          <w:lang w:val="el" w:eastAsia="el"/>
        </w:rPr>
        <w:t>του άρθρου 60 «Αφορολόγητο, ακατάσχετο και ανεκχώρητο της ενίσχυσης που χορηγείται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w:t>
      </w:r>
    </w:p>
    <w:p>
      <w:pPr>
        <w:pStyle w:val="PreambelText"/>
        <w:spacing w:before="240" w:after="240"/>
        <w:rPr>
          <w:lang w:val="el" w:eastAsia="el"/>
        </w:rPr>
      </w:pPr>
      <w:r>
        <w:rPr>
          <w:b/>
          <w:bCs/>
          <w:lang w:val="el" w:eastAsia="el"/>
        </w:rPr>
        <w:t xml:space="preserve">4. </w:t>
      </w:r>
      <w:r>
        <w:rPr>
          <w:b/>
          <w:bCs/>
          <w:lang w:val="el" w:eastAsia="el"/>
        </w:rPr>
        <w:t>του άρθρου 64 (παρ. 1)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Το άρθρο 50 αφορά την τροποποίηση του άρθρου 11 ν. 5122/2024 αναφορικά με την αξιοποίηση κινήτρου φορολογικής απαλλαγής σε επενδυτικά σχέδια που υπάγονται στα καθεστώτα ενισχύσεων των νόμων 4887/2022, 4399/2016 και 3908/2011.</w:t>
      </w:r>
    </w:p>
    <w:p>
      <w:pPr>
        <w:pStyle w:val="PreambelText"/>
        <w:spacing w:before="240" w:after="240"/>
        <w:rPr>
          <w:lang w:val="el" w:eastAsia="el"/>
        </w:rPr>
      </w:pPr>
      <w:r>
        <w:rPr>
          <w:b/>
          <w:bCs/>
          <w:lang w:val="el" w:eastAsia="el"/>
        </w:rPr>
        <w:t xml:space="preserve">2. </w:t>
      </w:r>
      <w:r>
        <w:rPr>
          <w:b/>
          <w:bCs/>
          <w:lang w:val="el" w:eastAsia="el"/>
        </w:rPr>
        <w:t>Το άρθρο 51 παρ. 2 αφορά την τροποποίηση της παρ. 3 του άρθρου 8 του ν. 4864/2021, περί φορολογικών κινήτρων.</w:t>
      </w:r>
    </w:p>
    <w:p>
      <w:pPr>
        <w:pStyle w:val="PreambelText"/>
        <w:spacing w:before="240" w:after="240"/>
        <w:rPr>
          <w:lang w:val="el" w:eastAsia="el"/>
        </w:rPr>
      </w:pPr>
      <w:r>
        <w:rPr>
          <w:b/>
          <w:bCs/>
          <w:lang w:val="el" w:eastAsia="el"/>
        </w:rPr>
        <w:t xml:space="preserve">3. </w:t>
      </w:r>
      <w:r>
        <w:rPr>
          <w:b/>
          <w:bCs/>
          <w:lang w:val="el" w:eastAsia="el"/>
        </w:rPr>
        <w:t>Το άρθρο 60 αφορά το αφορολόγητο, ακατάσχετο και ανεκχώρητο της ενίσχυσης που λαμβάνουν φυσικά ή νομικά πρόσωπα ή νομικές οντότητες,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w:t>
      </w:r>
    </w:p>
    <w:p>
      <w:pPr>
        <w:pStyle w:val="PreambelText"/>
        <w:spacing w:before="240" w:after="240"/>
        <w:rPr>
          <w:lang w:val="el" w:eastAsia="el"/>
        </w:rPr>
      </w:pPr>
      <w:r>
        <w:rPr>
          <w:b/>
          <w:bCs/>
          <w:lang w:val="el" w:eastAsia="el"/>
        </w:rPr>
        <w:t xml:space="preserve">4. </w:t>
      </w:r>
      <w:r>
        <w:rPr>
          <w:b/>
          <w:bCs/>
          <w:lang w:val="el" w:eastAsia="el"/>
        </w:rPr>
        <w:t>Το άρθρο 64 παρ. 1 αφορά στην έναρξη ισχύος των διατάξεων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50, 51 (παρ. 2), 60 και 64 (παρ. 1) του ν. 5255/2025 (Α΄219), ως ακολούθως:</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«Αξιοποίηση κινήτρου φορολογικής απαλλαγής σε επενδυτικά σχέδια - Τροποποίηση άρθρου 11 ν. 5122/2024»</w:t>
      </w:r>
    </w:p>
    <w:p>
      <w:pPr>
        <w:spacing w:before="240" w:after="240"/>
        <w:rPr>
          <w:lang w:val="el" w:eastAsia="el"/>
        </w:rPr>
      </w:pPr>
      <w:r>
        <w:rPr>
          <w:b/>
          <w:bCs/>
          <w:lang w:val="el" w:eastAsia="el"/>
        </w:rPr>
        <w:t>Με τις διατάξεις του άρθρου 50 του κοινοποιούμενου νόμου, στο άρθρο 11 του ν. 5122/2024 (Α’ 108), περί αξιοποίησης κινήτρου φορολογικής απαλλαγής σε επενδυτικά σχέδια που υπάγονται στα καθεστώτα ενισχύσεων των νόμων 4399/2016 (Α’ 117) και 3908/2011 (Α’ 8), επέρχονται οι ακόλουθες τροποποιήσεις: α) στον τίτλο, οι λέξεις «ν. 4399/2016 και ν. 3908/2011» αντικαθίστανται από τις λέξεις «νόμων 4887/2022, 4399/2016 και 3908/2011», β) στη μόνη παράγραφο, οι λέξεις «έχουν υπαχθεί στους νόμους 3908/2011 (Α’ 8) και 4399/2016 (Α’ 117)» αντικαθίστανται από τις λέξεις «έχουν υπαχθεί στους νόμους 4887/2022 (Α’ 16), 4399/2016 (Α’ 117) και 3908/2011 (Α’ 8),» και το άρθρο 11 διαμορφώνεται ως εξής: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νόμων 4887/2022, 4399/2016 και 3908/2011</w:t>
      </w:r>
    </w:p>
    <w:p>
      <w:pPr>
        <w:spacing w:before="240" w:after="240"/>
        <w:rPr>
          <w:lang w:val="el" w:eastAsia="el"/>
        </w:rPr>
      </w:pPr>
      <w:r>
        <w:rPr>
          <w:b/>
          <w:bCs/>
          <w:lang w:val="el" w:eastAsia="el"/>
        </w:rPr>
        <w:t>Επιχειρήσεις, επενδυτικά σχέδια των οποίων έχουν υπαχθεί στους νόμους 4887/2022 (Α’ 16), 4399/2016 (Α’ 117) και 3908/2011 (Α’ 8),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(παρ. 2) «Εμβληματικές Επενδύσεις Εξαιρετικής Σημασίας και επενδυτικά κίνητρα - Τροποποίηση περ. γ) παρ. 1 άρθρου 2, παρ. 3 άρθρου 8 και παρ. 4 άρθρου 10 ν. 4864/2021» ［…］</w:t>
      </w:r>
    </w:p>
    <w:p>
      <w:pPr>
        <w:spacing w:before="240" w:after="240"/>
        <w:rPr>
          <w:lang w:val="el" w:eastAsia="el"/>
        </w:rPr>
      </w:pPr>
      <w:r>
        <w:rPr>
          <w:b/>
          <w:bCs/>
          <w:lang w:val="el" w:eastAsia="el"/>
        </w:rPr>
        <w:t>Με τις διατάξεις της παρ. 2 του άρθρου 51 του κοινοποιούμενου νόμου, στο πρώτο εδάφιο της παρ. 3 του άρθρου 8 του ν. 4864/2021, περί φορολογικών κινήτρων, οι λέξεις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(2023/C 101/03)» αντικαθίστανται από τις λέξεις ««Πλαίσιο για μέτρα κρατικής ενίσχυσης με σκοπό τη στήριξη της συμφωνίας για καθαρή βιομηχανία» (C/2025/3602)» και η παρ. 3 διαμορφώνεται ως εξής:</w:t>
      </w:r>
    </w:p>
    <w:p>
      <w:pPr>
        <w:spacing w:before="240" w:after="240"/>
        <w:rPr>
          <w:lang w:val="el" w:eastAsia="el"/>
        </w:rPr>
      </w:pPr>
      <w:r>
        <w:rPr>
          <w:b/>
          <w:bCs/>
          <w:lang w:val="el" w:eastAsia="el"/>
        </w:rPr>
        <w:t xml:space="preserve">«3 </w:t>
      </w:r>
      <w:r>
        <w:rPr>
          <w:b/>
          <w:bCs/>
          <w:lang w:val="el" w:eastAsia="el"/>
        </w:rPr>
        <w:t>. Οι ενισχύσεις του παρόντος χορηγούνται κατόπιν αίτησης της παρ. 1 του άρθρου 12 του φορέα της επένδυσης, είτε ως μεμονωμένες ενισχύσεις σύμφωνα με τον Κανονισμό (ΕΕ) 651/2014, είτε ως μεμονωμένες ενισχύσεις κατόπιν εγκριτικής απόφασης της Ευρωπαϊκής Επιτροπής, είτε ως μεμονωμένες ενισχύσεις στο πλαίσιο εγκριθέντος, από την Ευρωπαϊκή Επιτροπή, καθεστώτος σύμφωνα με την Ανακοίνωση της Ευρωπαϊκής Επιτροπής «Πλαίσιο για μέτρα κρατικής ενίσχυσης με σκοπό τη στήριξη της συμφωνίας για καθαρή βιομηχανία» (C/2025/3602). Οι προϋποθέσεις χορήγησης της ενίσχυσης, όπως προκύπτουν από τον ανωτέρω Κανονισμό, την απόφαση της Ευρωπαϊκής Επιτροπής ή το καθεστώς, εξειδικεύονται με την απόφαση του άρθρου 16.» ［…］.</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«Αφορολόγητο, ακατάσχετο και ανεκχώρητο της ενίσχυσης που χορηγείται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w:t>
      </w:r>
    </w:p>
    <w:p>
      <w:pPr>
        <w:spacing w:before="240" w:after="240"/>
        <w:rPr>
          <w:lang w:val="el" w:eastAsia="el"/>
        </w:rPr>
      </w:pPr>
      <w:r>
        <w:rPr>
          <w:b/>
          <w:bCs/>
          <w:lang w:val="el" w:eastAsia="el"/>
        </w:rPr>
        <w:t>Με το άρθρο 60 του κοινοποιούμενου νόμου ορίζεται ότι η ενίσχυση που λαμβάνουν φυσικά ή νομικά πρόσωπα ή νομικές οντότητες,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 είναι αφορολόγητη, ακατάσχετη και ανεκχώρητη στα χέρια του Δημοσίου ή τρίτων, κατά παρέκκλιση κάθε άλλης γενικής ή ειδικής διάταξης, μη εφαρμοζόμενης της παρ. 1 του άρθρου 47 του Κώδικα Φορολογίας Εισοδήματος (ν. 4172/2013, Α΄ 167), περί κερδών από επιχειρηματική δραστηριότητα. Περαιτέρω, ορίζεται ότι σε περίπτωση διανομής ή κεφαλαιοποίησης της ενίσχυσης του πρώτου εδαφίου, αυτή δεν υπόκειται σε οποιοδήποτε τέλος, εισφορά ή άλλη κράτηση υπέρ του Δημοσίου,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 1) «Έναρξη ισχύος»</w:t>
      </w:r>
    </w:p>
    <w:p>
      <w:pPr>
        <w:spacing w:before="240" w:after="240"/>
        <w:rPr>
          <w:lang w:val="el" w:eastAsia="el"/>
        </w:rPr>
      </w:pPr>
      <w:r>
        <w:rPr>
          <w:b/>
          <w:bCs/>
          <w:lang w:val="el" w:eastAsia="el"/>
        </w:rPr>
        <w:t>Σύμφωνα με την παρ. 1 του άρθρου 64 του κοινοποιούμενου νόμου, η ισχύς του αρχίζει από τη δημοσίευσή του στην Εφημερίδα της Κυβερνήσεως (28.11.2025).</w:t>
      </w:r>
    </w:p>
    <w:p>
      <w:pPr>
        <w:spacing w:before="240" w:after="240"/>
        <w:rPr>
          <w:lang w:val="el" w:eastAsia="el"/>
        </w:rPr>
      </w:pPr>
      <w:r>
        <w:rPr>
          <w:b/>
          <w:bCs/>
          <w:lang w:val="el" w:eastAsia="el"/>
        </w:rPr>
        <w:t>Συνημμένα: Απόσπασμα του ΦΕΚ Α΄219/28.11.2025 (άρθρα 50, 51 παρ. 2, 60 και 64 παρ. 1 του ν. 5255/2025)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 Τμήματα Α΄,Β΄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 – Τμήματα Α΄, Β΄</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e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