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ΟΡΘΗ ΕΠΑΝΑΛΗΨΗ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ΦΟΡΟΛΟΓΙΑΣ ΕΙΣΟΔΗΜΑΤΟΣ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A’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Κώδικας:10184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Πληροφορίες: Γ. Βαρνάκου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:210-3375314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:210-3375001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Προσκόμιση ειδικού πληρεξούσιου για την παραλαβή του κλειδαρίθμου από τις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Δ.Ο.Υ. σε περιπτώσεις αδυναμίας αυτοπρόσωπης παρουσίας.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της με αρ. πολ. 1178/7.12.2010 Α.Υ.Ο., αναφορικά με το παραπάνω θέμα και με αφορμή προφορικά ερωτήματα που υποβλήθηκαν στην υπηρεσία μας, διευκρινίζεται ότι σε περιπτώσεις αδυναμίας αυτοπρόσωπης παρουσίας του φυσικού προσώπου ή του νομίμως εκπροσωπούντος το μη φυσικό πρόσωπο στην Δ.Ο.Υ., για την παραλαβή του κλειδαρίθμου απαιτείται η προσκόμιση ειδικού πληρεξουσίου –εγγράφου διάρκειας τεσσάρων μηνών, το οποίο θα φέρει το γνήσιο της υπογραφής του εξουσιοδοτούντος από Αστυνομικό τμήμα ή Κ.ΕΠ. ή από οποιαδήποτε άλλη δημόσια αρχή που έχει το δικαίωμα αυτό και δεν απαιτείται να είναι συμβολαιογραφικό πληρεξούσιο.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Αποδέκτες πίνακα Α΄(εκτός της περ.1)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Αποδέκτες πίνακα Β΄(εκτός της περ.1)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πίνακα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πίνακα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Αποδέκτες πίνακα 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Αποδέκτες πίνακα 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Αποδέκτες πίνακα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Αποδέκτες πίνακα Θ΄(εκτός των περ. 1,2,8 και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Αποδέκτες πίνακα ΙΑ΄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Αποδέκτες πίνακα ΙΓ΄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</w:t>
      </w:r>
      <w:r>
        <w:rPr>
          <w:b/>
          <w:bCs/>
          <w:lang w:val="el" w:eastAsia="el"/>
        </w:rPr>
        <w:t>Αποδέκτες πίνακα ΙΔ΄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</w:t>
      </w:r>
      <w:r>
        <w:rPr>
          <w:b/>
          <w:bCs/>
          <w:lang w:val="el" w:eastAsia="el"/>
        </w:rPr>
        <w:t>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15. </w:t>
      </w:r>
      <w:r>
        <w:rPr>
          <w:b/>
          <w:bCs/>
          <w:lang w:val="el" w:eastAsia="el"/>
        </w:rPr>
        <w:t>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16. </w:t>
      </w:r>
      <w:r>
        <w:rPr>
          <w:b/>
          <w:bCs/>
          <w:lang w:val="el" w:eastAsia="el"/>
        </w:rPr>
        <w:t>Αποδέκτες πίνακα ΙΖ΄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17. </w:t>
      </w:r>
      <w:r>
        <w:rPr>
          <w:b/>
          <w:bCs/>
          <w:lang w:val="el" w:eastAsia="el"/>
        </w:rPr>
        <w:t>Αποδέκτες πίνακα ΙΗ΄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18. </w:t>
      </w:r>
      <w:r>
        <w:rPr>
          <w:b/>
          <w:bCs/>
          <w:lang w:val="el" w:eastAsia="el"/>
        </w:rPr>
        <w:t>Αποδέκτες πίνακα ΙΘ΄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19. </w:t>
      </w:r>
      <w:r>
        <w:rPr>
          <w:b/>
          <w:bCs/>
          <w:lang w:val="el" w:eastAsia="el"/>
        </w:rPr>
        <w:t>Αποδέκτες πίνακα Κ΄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20. </w:t>
      </w:r>
      <w:r>
        <w:rPr>
          <w:b/>
          <w:bCs/>
          <w:lang w:val="el" w:eastAsia="el"/>
        </w:rPr>
        <w:t>Αποδέκτες πίνακα ΚΑ΄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21. </w:t>
      </w:r>
      <w:r>
        <w:rPr>
          <w:b/>
          <w:bCs/>
          <w:lang w:val="el" w:eastAsia="el"/>
        </w:rPr>
        <w:t>Αποδέκτες πίνακα ΚΒ΄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22. </w:t>
      </w:r>
      <w:r>
        <w:rPr>
          <w:b/>
          <w:bCs/>
          <w:lang w:val="el" w:eastAsia="el"/>
        </w:rPr>
        <w:t>Αποδέκτες πίνακα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23. </w:t>
      </w:r>
      <w:r>
        <w:rPr>
          <w:b/>
          <w:bCs/>
          <w:lang w:val="el" w:eastAsia="el"/>
        </w:rPr>
        <w:t>Τράπεζα Δημοσιονομικών Δεδομένων(Τ.Δ.Δ.) για καταχώρηση και στην ιστοσελίδα της Τ.Δ.Δ.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24. </w:t>
      </w:r>
      <w:r>
        <w:rPr>
          <w:b/>
          <w:bCs/>
          <w:lang w:val="el" w:eastAsia="el"/>
        </w:rPr>
        <w:t>Γεν. Γραμμ. Πληροφ. Συστημάτων (Γ.Γ.Π.Σ.) για καταχώρηση στην ιστοσελίδα της.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Γρ. .κ.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Γρ.κ. Γεν. Γραμματέα Φορολογικών κ΄ 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Γρ.κ. Γεν.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Γρ. κ. Γεν. Δ/ντή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 κ. Δ/ντή Φορολογίας Εισοδήματος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12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Τμ. Α΄ τρία (3), Φακ. Τεκμ. (1)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