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Αθήνα,30.12.2010</w:t>
      </w:r>
    </w:p>
    <w:p>
      <w:pPr>
        <w:spacing w:before="240" w:after="240"/>
        <w:rPr>
          <w:lang w:val="el" w:eastAsia="el"/>
        </w:rPr>
      </w:pPr>
      <w:r>
        <w:rPr>
          <w:b/>
          <w:bCs/>
          <w:lang w:val="el" w:eastAsia="el"/>
        </w:rPr>
        <w:t>ΠΟΛ.:1206</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ΑΘΗΝΑ</w:t>
      </w:r>
    </w:p>
    <w:p>
      <w:pPr>
        <w:spacing w:before="240" w:after="240"/>
        <w:rPr>
          <w:lang w:val="el" w:eastAsia="el"/>
        </w:rPr>
      </w:pPr>
      <w:r>
        <w:rPr>
          <w:b/>
          <w:bCs/>
          <w:lang w:val="el" w:eastAsia="el"/>
        </w:rPr>
        <w:t>Ν. Αποστολόπουλος</w:t>
      </w:r>
    </w:p>
    <w:p>
      <w:pPr>
        <w:spacing w:before="240" w:after="240"/>
        <w:rPr>
          <w:lang w:val="el" w:eastAsia="el"/>
        </w:rPr>
      </w:pPr>
      <w:r>
        <w:rPr>
          <w:b/>
          <w:bCs/>
          <w:lang w:val="el" w:eastAsia="el"/>
        </w:rPr>
        <w:t>210- 3647202-5</w:t>
      </w:r>
    </w:p>
    <w:p>
      <w:pPr>
        <w:spacing w:before="240" w:after="240"/>
        <w:rPr>
          <w:lang w:val="el" w:eastAsia="el"/>
        </w:rPr>
      </w:pPr>
      <w:r>
        <w:rPr>
          <w:b/>
          <w:bCs/>
          <w:lang w:val="el" w:eastAsia="el"/>
        </w:rPr>
        <w:t>210- 3645413</w:t>
      </w:r>
    </w:p>
    <w:p>
      <w:pPr>
        <w:spacing w:before="240" w:after="240"/>
        <w:rPr>
          <w:lang w:val="el" w:eastAsia="el"/>
        </w:rPr>
      </w:pP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 xml:space="preserve">Θέμα: </w:t>
      </w:r>
      <w:r>
        <w:rPr>
          <w:lang w:val="el" w:eastAsia="el"/>
        </w:rPr>
        <w:t>«Διευκρινίσεις για την εφαρμογή της Υπουργικής Απόφασης Π.2869/2389/ΠΟΛ.137/1987 στις ξενοδοχειακές επιχειρήσεις</w:t>
      </w:r>
      <w:r>
        <w:rPr>
          <w:i/>
          <w:iCs/>
          <w:lang w:val="el" w:eastAsia="el"/>
        </w:rPr>
        <w:t>»</w:t>
      </w:r>
    </w:p>
    <w:p>
      <w:pPr>
        <w:spacing w:before="240" w:after="240"/>
        <w:rPr>
          <w:lang w:val="el" w:eastAsia="el"/>
        </w:rPr>
      </w:pPr>
      <w:r>
        <w:rPr>
          <w:lang w:val="el" w:eastAsia="el"/>
        </w:rPr>
        <w:t>Με αφορμή γραπτά και προφορικά ερωτήματα προς την υπηρεσία μας και προκειμένου να διασφαλισθεί η ορθή και ομοιόμορφη εφαρμογή των διατάξεων της παραπάνω Υπουργικής Απόφασης, σε ότι αυτές αφορούν τις ξενοδοχειακές επιχειρήσεις, διευκρινίζουμε τα ακόλουθα:</w:t>
      </w:r>
    </w:p>
    <w:p>
      <w:pPr>
        <w:spacing w:before="240" w:after="240"/>
        <w:rPr>
          <w:lang w:val="el" w:eastAsia="el"/>
        </w:rPr>
      </w:pPr>
      <w:r>
        <w:rPr>
          <w:lang w:val="el" w:eastAsia="el"/>
        </w:rPr>
        <w:t>Στις διατάξεις της απόφασης αυτής υπάγονται όχι μόνο τα πάγια των ξενοδοχειακών επιχειρήσεων που έχουν το χαρακτήρα μηχανολογικού εξοπλισμού, αλλά και τα έπιπλα, ο λοιπός εξοπλισμός και τα μεταφορικά μέσα των επιχειρήσεων αυτών, εφόσον σύμφωνα με τις διατάξεις του ν.2859/2000 (Κώδικας Φ.Π.Α.) όπως ισχύει, υφίσταται δικαίωμα έκπτωσης του φόρου των εισροών τους. Συνεπώς υπάγονται τα ενσώματα αγαθά τα οποία, σύμφωνα με το Ελληνικό Γενικό Λογιστικό Σχέδιο και τις γενικά παραδεκτές αρχές της λογιστικής, περιλαμβάνονται στις παραπάνω κατηγορίες παγίων στοιχείων, με δεδομένο ότι έχουν ωφέλιμη διάρκεια ζωής μεγαλύτερη του ενός έτους και εξυπηρετούν τις ανάγκες των ξενοδοχειακών επιχειρήσεων για περισσότερες της μιας διαχειριστικές περιόδους. Η τυχόν παρεχόμενη από τις διατάξεις της φορολογίας εισοδήματος δυνατότητα εφάπαξ απόσβεσης των παραπάνω πάγιων στοιχείων, δεν επηρεάζει την υπαγωγή τους ή μη στις διατάξεις της απόφασης αυτής.</w:t>
      </w:r>
    </w:p>
    <w:p>
      <w:pPr>
        <w:spacing w:before="240" w:after="240"/>
        <w:rPr>
          <w:lang w:val="el" w:eastAsia="el"/>
        </w:rPr>
      </w:pPr>
      <w:r>
        <w:rPr>
          <w:lang w:val="el" w:eastAsia="el"/>
        </w:rPr>
        <w:t>Οποιαδήποτε οδηγία με αντίθετο, σε σχέση με τα παραπάνω περιεχόμενο, παύει να ισχύει από την έκδοση της παρούσας εγκυκλίου.</w:t>
      </w:r>
    </w:p>
    <w:p>
      <w:pPr>
        <w:spacing w:before="240" w:after="240"/>
        <w:rPr>
          <w:lang w:val="el" w:eastAsia="el"/>
        </w:rPr>
      </w:pPr>
      <w:r>
        <w:rPr>
          <w:lang w:val="el" w:eastAsia="el"/>
        </w:rPr>
        <w:t>Οι λοιπές διατάξεις που αφορούν στις προϋποθέσεις και στις διαδικασίες εφαρμογής των Π.2869/2389/ΠΟΛ.137/1987 και Π.5749/3679/ΠΟΛ.246/198</w:t>
      </w:r>
      <w:r>
        <w:rPr>
          <w:i/>
          <w:iCs/>
          <w:lang w:val="el" w:eastAsia="el"/>
        </w:rPr>
        <w:t>7</w:t>
      </w:r>
      <w:r>
        <w:rPr>
          <w:lang w:val="el" w:eastAsia="el"/>
        </w:rPr>
        <w:t xml:space="preserve"> στις ξενοδοχειακές και στις λοιπές επιχειρήσεις, εξακολουθούν να ισχύουν.</w:t>
      </w:r>
    </w:p>
    <w:p>
      <w:pPr>
        <w:spacing w:before="240" w:after="240"/>
        <w:rPr>
          <w:lang w:val="el" w:eastAsia="el"/>
        </w:rPr>
      </w:pPr>
      <w:r>
        <w:rPr>
          <w:b/>
          <w:bCs/>
          <w:lang w:val="el" w:eastAsia="el"/>
        </w:rPr>
        <w:t>ΑΚΡΙΒΕΣ ΑΝΤΙΓΡΑΦΟΟ ΠΡΟΪΣΤΑΜΕΝΟΣ ΓΡΑΜΜΑΤΕΙΑΣ</w:t>
      </w:r>
    </w:p>
    <w:p>
      <w:pPr>
        <w:spacing w:before="240" w:after="240"/>
        <w:rPr>
          <w:lang w:val="el" w:eastAsia="el"/>
        </w:rPr>
      </w:pPr>
      <w:r>
        <w:rPr>
          <w:b/>
          <w:bCs/>
          <w:lang w:val="el" w:eastAsia="el"/>
        </w:rPr>
        <w:t>Ο ΥΦΥΠΟΥΡΓΟΣ ΟΙΚΟΝΟΜΙΚΩΝΔΗΜΗΤΡΙΟΣ 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