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ΑΔΑ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ΑΝΑΡΤΗΤΕΑ ΣΤΟ ΔΙΑΔΙΚΤΥΟ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ΥΠΟΥΡΓΕΙΟ ΟΙΚΟΝΟΜΙΚΩΝ</w:t>
      </w:r>
    </w:p>
    <w:p>
      <w:pPr>
        <w:pStyle w:val="enacting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Αθήνα, 31 Δεκεμβρίου 2010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ΓΕΝΙΚΗ ΓΡΑΜΜΑΤΕΙΑ ΦΟΡΟΛΟΓΙΚΩΝ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ΚΑΙ ΤΕΛΩΝΕΙΑΚΩΝ ΘΕΜΑΤΩΝ Αρ.Πρωτ.:ΔΕΦΚΒ5055317ΕΞ2010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ΓΕΝ. Δ/ΝΣΗ ΤΕΛΩΝΕΙΩΝ &amp; Ε.Φ.Κ.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Δ/ΝΣΗ ΕΙΔΙΚΩΝ ΦΟΡΩΝ ΚΑΤΑΝΑΛΩΣΗΣ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ΤΜΗΜΑ Β’ 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Φορολογίας Καπνού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ΘΕΜΑ</w:t>
      </w:r>
      <w:r>
        <w:rPr>
          <w:b/>
          <w:bCs/>
          <w:lang w:val="el" w:eastAsia="el"/>
        </w:rPr>
        <w:t>: «Κοινοποίηση της αριθ. ΔΕΦΚ 5055139 ΕΞ 2010/31.12.2010 Α.Υ.Ο. για τον καθορισμό της Σταθμισμένης Μέσης Τιμής (Σ.Μ.Τ.) λιανικής πώλησης των βιομηχανοποιημένων καπνών».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Σας κοινοποιούμε για ενημέρωση και εφαρμογή την ανωτέρω Απόφαση του Υπουργού Οικονομικών (Α.Υ.Ο.), η οποία δημοσιεύτηκε στην Εφημερίδα της Κυβερνήσεως (ΦΕΚ 2047/Β΄/31-12-2010), με την οποία κατά την έννοια των διατάξεων των παραγράφων 1, 3 και 4 του άρθρου 97 του ν.2960/2001 «Εθνικός Τελωνειακός Κώδικας», καθορίζεται από </w:t>
      </w:r>
      <w:r>
        <w:rPr>
          <w:b/>
          <w:bCs/>
          <w:lang w:val="el" w:eastAsia="el"/>
        </w:rPr>
        <w:t>1</w:t>
      </w:r>
      <w:r>
        <w:rPr>
          <w:b/>
          <w:bCs/>
          <w:sz w:val="30"/>
          <w:szCs w:val="30"/>
          <w:vertAlign w:val="superscript"/>
          <w:lang w:val="el" w:eastAsia="el"/>
        </w:rPr>
        <w:t>ης</w:t>
      </w:r>
      <w:r>
        <w:rPr>
          <w:b/>
          <w:bCs/>
          <w:lang w:val="el" w:eastAsia="el"/>
        </w:rPr>
        <w:t xml:space="preserve"> Ιανουαρίου 2011</w:t>
      </w:r>
      <w:r>
        <w:rPr>
          <w:lang w:val="el" w:eastAsia="el"/>
        </w:rPr>
        <w:t>, η Σταθμισμένη Μέση Τιμή (Σ.Μ.Τ.) λιανικής πώλησης των βιομηχανοποιημένων καπνών. Ειδικότερα: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Η σταθμισμένη μέση τιμή λιανικής πώλησης των </w:t>
      </w:r>
      <w:r>
        <w:rPr>
          <w:b/>
          <w:bCs/>
          <w:lang w:val="el" w:eastAsia="el"/>
        </w:rPr>
        <w:t>τσιγάρων</w:t>
      </w:r>
      <w:r>
        <w:rPr>
          <w:lang w:val="el" w:eastAsia="el"/>
        </w:rPr>
        <w:t xml:space="preserve">, καθορίζεται στα </w:t>
      </w:r>
      <w:r>
        <w:rPr>
          <w:b/>
          <w:bCs/>
          <w:lang w:val="el" w:eastAsia="el"/>
        </w:rPr>
        <w:t xml:space="preserve">156,56 </w:t>
      </w:r>
      <w:r>
        <w:rPr>
          <w:lang w:val="el" w:eastAsia="el"/>
        </w:rPr>
        <w:t xml:space="preserve">ευρώ η φορολογική μονάδα (1 Φ.Μ.=1.000 τσιγάρα). Με βάση την τιμή αυτή, από την ίδια ως άνω ημερομηνία, ο πάγιος φόρος των τσιγάρων ορίζεται στα </w:t>
      </w:r>
      <w:r>
        <w:rPr>
          <w:b/>
          <w:bCs/>
          <w:lang w:val="el" w:eastAsia="el"/>
        </w:rPr>
        <w:t xml:space="preserve">19,6561 </w:t>
      </w:r>
      <w:r>
        <w:rPr>
          <w:lang w:val="el" w:eastAsia="el"/>
        </w:rPr>
        <w:t xml:space="preserve">ευρώ η φορολογική μονάδα και το ελάχιστο ποσό του Ειδικού Φόρου Κατανάλωσης (Ε.Φ.Κ.) των τσιγάρων, το ποσοστό του οποίου έχει οριστεί στο 75% του συνολικού ειδικού φόρου κατανάλωσης που επιβάλλεται στη σταθμισμένη μέση τιμή λιανικής πώλησης των τσιγάρων, διαμορφώνεται στα </w:t>
      </w:r>
      <w:r>
        <w:rPr>
          <w:b/>
          <w:bCs/>
          <w:lang w:val="el" w:eastAsia="el"/>
        </w:rPr>
        <w:t xml:space="preserve">76,323 </w:t>
      </w:r>
      <w:r>
        <w:rPr>
          <w:lang w:val="el" w:eastAsia="el"/>
        </w:rPr>
        <w:t>ευρώ ανά φορολογική μονάδα, αντί των 80,40 ευρώ που ισχύει σήμερα.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Η σταθμισμένη μέση τιμή λιανικής πώλησης του </w:t>
      </w:r>
      <w:r>
        <w:rPr>
          <w:b/>
          <w:bCs/>
          <w:lang w:val="el" w:eastAsia="el"/>
        </w:rPr>
        <w:t xml:space="preserve">λεπτοκομμένου καπνού </w:t>
      </w:r>
      <w:r>
        <w:rPr>
          <w:lang w:val="el" w:eastAsia="el"/>
        </w:rPr>
        <w:t xml:space="preserve">ο οποίος προορίζεται για την κατασκευή χειροποίητων τσιγάρων καθορίζεται στα </w:t>
      </w:r>
      <w:r>
        <w:rPr>
          <w:b/>
          <w:bCs/>
          <w:lang w:val="el" w:eastAsia="el"/>
        </w:rPr>
        <w:t xml:space="preserve">144,77 </w:t>
      </w:r>
      <w:r>
        <w:rPr>
          <w:lang w:val="el" w:eastAsia="el"/>
        </w:rPr>
        <w:t xml:space="preserve">ευρώ το χιλιόγραμμο και το ελάχιστο ποσό του Ειδικού Φόρου Κατανάλωσης (Ε.Φ.Κ.) του λεπτοκομμένου καπνού, το ποσοστό του οποίου έχει οριστεί στο 75% της σταθμισμένης μέσης τιμής λιανικής πώλησης του καπνού αυτού, διαμορφώνεται στα </w:t>
      </w:r>
      <w:r>
        <w:rPr>
          <w:b/>
          <w:bCs/>
          <w:lang w:val="el" w:eastAsia="el"/>
        </w:rPr>
        <w:t xml:space="preserve">108,5775 </w:t>
      </w:r>
      <w:r>
        <w:rPr>
          <w:lang w:val="el" w:eastAsia="el"/>
        </w:rPr>
        <w:t>ευρώ ανά χιλιόγραμμο.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Η σταθμισμένη μέση τιμή λιανικής πώλησης </w:t>
      </w:r>
      <w:r>
        <w:rPr>
          <w:b/>
          <w:bCs/>
          <w:lang w:val="el" w:eastAsia="el"/>
        </w:rPr>
        <w:t xml:space="preserve">των άλλων καπνών για κάπνισμα </w:t>
      </w:r>
      <w:r>
        <w:rPr>
          <w:lang w:val="el" w:eastAsia="el"/>
        </w:rPr>
        <w:t xml:space="preserve">καθορίζεται στα </w:t>
      </w:r>
      <w:r>
        <w:rPr>
          <w:b/>
          <w:bCs/>
          <w:lang w:val="el" w:eastAsia="el"/>
        </w:rPr>
        <w:t xml:space="preserve">163,85 </w:t>
      </w:r>
      <w:r>
        <w:rPr>
          <w:lang w:val="el" w:eastAsia="el"/>
        </w:rPr>
        <w:t xml:space="preserve">ευρώ το χιλιόγραμμο και το ελάχιστο ποσό του Ειδικού Φόρου Κατανάλωσης (Ε.Φ.Κ.) των άλλων καπνών για κάπνισμα, που έχει οριστεί κατ’ αναλογία με το λεπτοκομμένο καπνό, διαμορφώνεται στα </w:t>
      </w:r>
      <w:r>
        <w:rPr>
          <w:b/>
          <w:bCs/>
          <w:lang w:val="el" w:eastAsia="el"/>
        </w:rPr>
        <w:t xml:space="preserve">122,8875 </w:t>
      </w:r>
      <w:r>
        <w:rPr>
          <w:lang w:val="el" w:eastAsia="el"/>
        </w:rPr>
        <w:t>ευρώ ανά χιλιόγραμμο.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ΠΡΟΪΣΤΑΜΕΝΟΣ ΤΗΣ Δ/ΝΣΗΣ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ΝΙΚ. ΑΣΗΜΑΚΟΠΟΥΛΟΣ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ΠΙΝΑΚΑΣ ΔΙΑΝΟΜΗΣ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Α. ΑΠΟΔΕΚΤΕΣ ΓΙΑ ΕΝΕΡΓΕΙΑ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Τελωνειακές Περιφέρειες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Τελωνειακές Αρχές της χώρας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Γεν. Γραμματεία Πληροφοριακών Συστημάτων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Δ/νση Υποστήριξης Ο.Π.Σ.Τ - Τμήμα Ε΄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Β. ΑΠΟΔΕΚΤΕΣ ΓΙΑ ΚΟΙΝΟΠΟΙΗΣΗ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Γενική Διεύθυνση Οικονομικής Επιθεώρησης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α)</w:t>
      </w:r>
      <w:r>
        <w:rPr>
          <w:lang w:val="en" w:eastAsia="en"/>
        </w:rPr>
        <w:tab/>
      </w:r>
      <w:r>
        <w:rPr>
          <w:lang w:val="el" w:eastAsia="el"/>
        </w:rPr>
        <w:t>Δ/νση Επιθεώρησης Υπηρεσιών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β)</w:t>
      </w:r>
      <w:r>
        <w:rPr>
          <w:lang w:val="en" w:eastAsia="en"/>
        </w:rPr>
        <w:tab/>
      </w:r>
      <w:r>
        <w:rPr>
          <w:lang w:val="el" w:eastAsia="el"/>
        </w:rPr>
        <w:t>Δ/νση Προσωπικού Επιθεώρησης γ) Δ/νση Εποπτείας Εσωτερικού Ελέγχου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Σ.Δ.Ο.Ε.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α)</w:t>
      </w:r>
      <w:r>
        <w:rPr>
          <w:lang w:val="en" w:eastAsia="en"/>
        </w:rPr>
        <w:tab/>
      </w:r>
      <w:r>
        <w:rPr>
          <w:lang w:val="el" w:eastAsia="el"/>
        </w:rPr>
        <w:t>Κεντρική Υπηρεσία β)Περιφερειακές Δ/νσεις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ΕΛ.Υ.Τ Αττικής – Θεσ/νίκης -Πατρών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ΔΙΠΕΑΚ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ΔΙΕΤΑ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ΔΙΠΑΕ Αθηνών και Θεσσαλονίκης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Εμπορικά και Βιομηχανικά Επιμελητήρια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Επαγγελματικά και Βιοτεχνικά Επιμελητήρια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9. Ομοσπονδία Εκτελωνιστών Αθήνας-Πειραιά Τσαμαδού 38 – 18531 Πειραιάς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10. Σύλλογος Εκτελωνιστών Αθήνας-Πειραιά Τσαμαδού 38 – 18531 Πειραιάς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11. Σύλλογος Εκτελωνιστών Θεσσαλονίκης Κουντουριώτου 13 Θεσσαλονίκη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12. Σύνδεσμος Ελληνικών Καπνοβιομηχανιών (Σ.Ε.Κ) Πανεπιστημίου 6 – 10671 Αθήνα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13. Ε.Σ.Κ.Ε.Ε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Κονίτσης 3-5, 15125 Μαρούσι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14. Καταστήματα Αφορολογήτων Ειδών (Κ.Α.Ε.)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23</w:t>
      </w:r>
      <w:r>
        <w:rPr>
          <w:sz w:val="30"/>
          <w:szCs w:val="30"/>
          <w:vertAlign w:val="superscript"/>
          <w:lang w:val="el" w:eastAsia="el"/>
        </w:rPr>
        <w:t>Ο</w:t>
      </w:r>
      <w:r>
        <w:rPr>
          <w:lang w:val="el" w:eastAsia="el"/>
        </w:rPr>
        <w:t xml:space="preserve"> χλμ. Ε.Ο. Αθηνών - Λαμίας 145 65 Αγ. Στέφανος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15. Οργανισμό Οικονομικής Συνεργασίας &amp; Ανάπτυξης (ΟΟΣΑ)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16. ΠΑΠΑΣΤΡΑΤΟΣ ΑΒΕΣ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Ήμερος Τόπος Κορορέμι-Τ.Κ. 193 00 Ασπρόπυργος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Γ.ΕΣΩΤΕΡΙΚΗ ΔΙΑΝΟΜΗ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Γραφείο Υπουργού κ.Γ.Παπακωνσταντίνου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Γραφείο Υφυπουργού κ. Δ. Κουσελά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Γραφείο Γενικού Γραμματέα κ. Δ. Γεωργακόπουλου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Γραφείο κ.Γεν. Δ/ντή Τελωνείων &amp; Ε.Φ.Κ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Γραφείο Επικοινωνίας και Πληροφόρησης Πολιτών (Γ.Ε.Π.ΠΟ)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Γραφείο Τύπου και Δημοσίων Σχέσεων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Γενική Δ/νση Τελωνείων &amp; Ε.Φ.Κ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α)</w:t>
      </w:r>
      <w:r>
        <w:rPr>
          <w:lang w:val="en" w:eastAsia="en"/>
        </w:rPr>
        <w:tab/>
      </w:r>
      <w:r>
        <w:rPr>
          <w:lang w:val="el" w:eastAsia="el"/>
        </w:rPr>
        <w:t>Δ/νσεις: 3</w:t>
      </w:r>
      <w:r>
        <w:rPr>
          <w:sz w:val="30"/>
          <w:szCs w:val="30"/>
          <w:vertAlign w:val="superscript"/>
          <w:lang w:val="el" w:eastAsia="el"/>
        </w:rPr>
        <w:t>η</w:t>
      </w:r>
      <w:r>
        <w:rPr>
          <w:lang w:val="el" w:eastAsia="el"/>
        </w:rPr>
        <w:t>,17</w:t>
      </w:r>
      <w:r>
        <w:rPr>
          <w:sz w:val="30"/>
          <w:szCs w:val="30"/>
          <w:vertAlign w:val="superscript"/>
          <w:lang w:val="el" w:eastAsia="el"/>
        </w:rPr>
        <w:t>η</w:t>
      </w:r>
      <w:r>
        <w:rPr>
          <w:lang w:val="el" w:eastAsia="el"/>
        </w:rPr>
        <w:t>,18</w:t>
      </w:r>
      <w:r>
        <w:rPr>
          <w:sz w:val="30"/>
          <w:szCs w:val="30"/>
          <w:vertAlign w:val="superscript"/>
          <w:lang w:val="el" w:eastAsia="el"/>
        </w:rPr>
        <w:t>η</w:t>
      </w:r>
      <w:r>
        <w:rPr>
          <w:lang w:val="el" w:eastAsia="el"/>
        </w:rPr>
        <w:t>,19</w:t>
      </w:r>
      <w:r>
        <w:rPr>
          <w:sz w:val="30"/>
          <w:szCs w:val="30"/>
          <w:vertAlign w:val="superscript"/>
          <w:lang w:val="el" w:eastAsia="el"/>
        </w:rPr>
        <w:t>η</w:t>
      </w:r>
      <w:r>
        <w:rPr>
          <w:lang w:val="el" w:eastAsia="el"/>
        </w:rPr>
        <w:t>,33</w:t>
      </w:r>
      <w:r>
        <w:rPr>
          <w:sz w:val="30"/>
          <w:szCs w:val="30"/>
          <w:vertAlign w:val="superscript"/>
          <w:lang w:val="el" w:eastAsia="el"/>
        </w:rPr>
        <w:t>η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β)</w:t>
      </w:r>
      <w:r>
        <w:rPr>
          <w:lang w:val="en" w:eastAsia="en"/>
        </w:rPr>
        <w:tab/>
      </w:r>
      <w:r>
        <w:rPr>
          <w:lang w:val="el" w:eastAsia="el"/>
        </w:rPr>
        <w:t>Δ/νση 3</w:t>
      </w:r>
      <w:r>
        <w:rPr>
          <w:sz w:val="30"/>
          <w:szCs w:val="30"/>
          <w:vertAlign w:val="superscript"/>
          <w:lang w:val="el" w:eastAsia="el"/>
        </w:rPr>
        <w:t>η</w:t>
      </w:r>
      <w:r>
        <w:rPr>
          <w:lang w:val="el" w:eastAsia="el"/>
        </w:rPr>
        <w:t xml:space="preserve"> Προσωπικού Τελωνείων</w:t>
      </w:r>
    </w:p>
    <w:p>
      <w:pPr>
        <w:pStyle w:val="Heading1"/>
        <w:spacing w:before="240" w:after="240"/>
        <w:rPr>
          <w:lang w:val="el" w:eastAsia="el"/>
        </w:rPr>
      </w:pPr>
      <w:r>
        <w:rPr>
          <w:lang w:val="el" w:eastAsia="el"/>
        </w:rPr>
        <w:t xml:space="preserve">Τμήμα Δ΄ </w:t>
      </w:r>
    </w:p>
    <w:p>
      <w:pPr>
        <w:pStyle w:val="Heading1"/>
        <w:spacing w:before="240" w:after="240"/>
        <w:rPr>
          <w:lang w:val="el" w:eastAsia="el"/>
        </w:rPr>
      </w:pPr>
      <w:r>
        <w:rPr>
          <w:lang w:val="el" w:eastAsia="el"/>
        </w:rPr>
        <w:t>Κωδικ. Τελων. Νομοθεσίας (σε 2 αντίτυπα) γ) Δ/νση Ε.Φ.Κ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Δ/νση Διεθνών Οικονομικών Σχέσεων</w:t>
      </w:r>
    </w:p>
    <w:p>
      <w:pPr>
        <w:pStyle w:val="Heading1"/>
        <w:spacing w:before="240" w:after="240"/>
        <w:rPr>
          <w:lang w:val="el" w:eastAsia="el"/>
        </w:rPr>
      </w:pPr>
      <w:r>
        <w:rPr>
          <w:lang w:val="el" w:eastAsia="el"/>
        </w:rPr>
        <w:t xml:space="preserve">Τμήμα Β΄ </w:t>
      </w:r>
    </w:p>
    <w:p>
      <w:pPr>
        <w:pStyle w:val="Heading1"/>
        <w:spacing w:before="240" w:after="240"/>
        <w:rPr>
          <w:lang w:val="el" w:eastAsia="el"/>
        </w:rPr>
      </w:pPr>
      <w:r>
        <w:rPr>
          <w:lang w:val="el" w:eastAsia="el"/>
        </w:rPr>
        <w:t>Τελωνειακών Θεμάτων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9. Δ/νση 6</w:t>
      </w:r>
      <w:r>
        <w:rPr>
          <w:sz w:val="30"/>
          <w:szCs w:val="30"/>
          <w:vertAlign w:val="superscript"/>
          <w:lang w:val="el" w:eastAsia="el"/>
        </w:rPr>
        <w:t>η</w:t>
      </w:r>
      <w:r>
        <w:rPr>
          <w:lang w:val="el" w:eastAsia="el"/>
        </w:rPr>
        <w:t xml:space="preserve"> Οργάνωσης</w:t>
      </w:r>
    </w:p>
    <w:p>
      <w:pPr>
        <w:pStyle w:val="Heading1"/>
        <w:spacing w:before="240" w:after="240"/>
        <w:rPr>
          <w:lang w:val="el" w:eastAsia="el"/>
        </w:rPr>
      </w:pPr>
      <w:r>
        <w:rPr>
          <w:lang w:val="el" w:eastAsia="el"/>
        </w:rPr>
        <w:t xml:space="preserve">Τμήμα Β΄ </w:t>
      </w:r>
    </w:p>
    <w:p>
      <w:pPr>
        <w:pStyle w:val="Heading1"/>
        <w:spacing w:before="240" w:after="240"/>
        <w:rPr>
          <w:lang w:val="el" w:eastAsia="el"/>
        </w:rPr>
      </w:pPr>
      <w:r>
        <w:rPr>
          <w:lang w:val="el" w:eastAsia="el"/>
        </w:rPr>
        <w:t>Οργάνωσης Τελων. Υπηρεσιών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10. Εθνική Στατιστική Υπηρεσία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Πειραιώς 46 -Τ.Κ.185 10 Πειραιάς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