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ΑΝΑΡΤΑΤΑΙ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Ιουνίου 2011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1141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ΥΠ. ΟΙΚΟΝΟΜΙΚΩΝ Δ/ΝΣΗ ΔΙΕΘΝΩΝ ΟΙΚΟΝΟΜΙΚΩΝ ΣΧΕΣΕΩΝ ΤΜΗΜΑ Α’ ΦΟΡΟΛΟΓΙΚΩΝ ΘΕΜΑΤΩΝ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Καραγ. Σερβίας 8 Ταχ. κώδ.: 10184 - Αθήνα Πληροφορίες: Ι. Φοβάκης Τηλέφωνο: 210 33 75 866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Τηλεομ.: 210 33 75 854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Ηλ. ταχ/μείο: </w:t>
      </w:r>
      <w:r>
        <w:rPr>
          <w:u w:val="single"/>
          <w:lang w:val="el" w:eastAsia="el"/>
        </w:rPr>
        <w:t>ypoik@ otenet.gr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Φορολογική μεταχείριση των μερισμάτων που διανέμουν ημεδαπές Α.Ε. σε αλλοδαπούς δικαιούχους, μετά την εφαρμογή των σχετικών διατάξεων του άρθρου 14 του ν.3943/2011 (ΦΕΚ Α΄ 66). Εφαρμογή των αντίστοιχων διατάξεων, στο πλαίσιο των Συμβάσεων/Συμφωνιών Αποφυγής Διπλής Φορολογίας (Σ.Α.Δ.Φ.) του Εισοδήματος.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ΣΧΕΤ.: α) Η με αριθ. πρωτ. 1022502/869/ΔΟΣ/ΠΟΛ.1082/11.06.09 εγκύκλιος διαταγή της Υπηρεσίας μας.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 με αριθ. 11004/Β0012/ΠΟΛ.1129/06.06.11 εγκύκλιος διαταγή της Δ/νσης Φορολογίας Εισοδήματος (Δ12).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του υπ. αριθ. α) σχετικού, σας παραθέτουμε επικαιροποιημένο πίνακα με τα ποσοστά παρακράτησης φόρου επί των μερισμάτων, όπως αυτά προβλέπονται από τις νέες Συμβάσεις/Συμφωνίες Αποφυγής Διπλής Φορολογίας (Σ.Α.Δ.Φ.) του Εισοδήματος που συνήψε η χώρα μας. Επισημαίνεται ότι, οι διατάξεις των εν λόγω Σ.Α.Δ.Φ. έχουν εφαρμογή από την 01 Ιανουαρίου 2011 και εντεύθεν.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H Προϊστάμενη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της Γραμματείας α.α.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Μ. Σαραντίτη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αριθ.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Οικονομικές Επιθεωρήσεις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Α΄, ΣΤ΄ (εκτός των αριθ. 1 και 2 αυτού), Ζ΄ (εκτός των αριθ. 3, 4 και 7 αυτού), Η΄, Θ΄, Ι΄, ΙΑ΄, ΙΒ΄, ΙΣΤ΄, ΙΖ΄, ΙΗ΄, ΙΘ΄, Κ΄, ΚΒ΄,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Υπ. Οικονομίας, Ανταγωνιστικότητας και Ναυτιλίας, Δ/νση Α.Ε. και Πίστεως, Πλ. Κάνιγγος, 10180 –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Υπ. Οικονομικών, Επιτροπή Λογιστικής Τυποποίησης και Ελέγχων (ΕΛΤΕ), Βουλής 7, 10562 –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Χρηματιστήριο Αθηνών Α.Ε., Λεωφόρος Αθηνών 110, 10442 -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Γραμματέα Υπ.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Γεν. Γραμματέα Φορολογικών &amp; Τελωνειακών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Τύπου &amp;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Επικοινωνίας &amp;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Γεν. Δ/νση Οικονομικής Επιθεώρησης, Θεμιστοκλέους 5, 10184 -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Διεθνών Οικονομικών Σχέσεων (Δ.Ο.Σ.) - Τμήμα Α΄ (20)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κ. Διευθυντή Δ.Ο.Σ.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ΑΝΑΛΥΤΙΚΟΣ ΠΙΝΑΚΑΣ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ΦΟΡΟΛΟΓΙΚΗ ΜΕΤΑΧΕΙΡΙΣΗ ΜΕΡΙΣΜΑΤΩΝ ΠΟΥ ΚΑΤΑΒΑΛΛΟΥΝ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ΗΜΕΔΑΠΕΣ Α.Ε. ΣΕ ΑΛΛΟΔΑΠΟΥΣ ΔΙΚΑΙΟΥΧΟΥΣ ΚΑΤΟΙΚΟΥΣΚΡΑΤΩΝ ΜΕ ΤΑ ΟΠΟΙΑ Η ΕΛΛΑΔΑ ΕΧΕΙ ΣΥΝΑΨΕΙ Σ.Α.Δ.Φ. ΤΟΥΕΙΣΟΔΗΜΑΤΟΣ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2052"/>
        <w:gridCol w:w="1772"/>
        <w:gridCol w:w="166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ΧΩΡΑ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ΝΟΜΟΘΕΣΙΑ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ΔΙΑΤΑΞΕΙΣ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ΠΟΣΟΣΤΟ</w:t>
            </w:r>
            <w:r>
              <w:rPr>
                <w:rStyle w:val="Hyperlink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none" w:color="0000EE"/>
                <w:vertAlign w:val="superscript"/>
                <w:lang w:val="el" w:eastAsia="el"/>
              </w:rPr>
              <w:footnoteReference w:id="2"/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6"/>
        <w:gridCol w:w="1588"/>
        <w:gridCol w:w="1019"/>
        <w:gridCol w:w="43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ΑΖΕΡΜΠΑΙΤΖΑΝ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3826/2010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παρ. 2, άρθρο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ΚΑΝΑΔΑΣ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3824/2010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παρ. 2, άρθρο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5% (εάν ο πραγματικός δικαιούχος είναι εταιρεία, η οποία κατέχει άμεσα ή έμμεσα τουλάχιστον το 25% του κεφαλαίου της εταιρείας που καταβάλλει τα μερίσματα).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15% (στις λοιπές περιπτώσεις).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ΚΑΤΑΡ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3823/2010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παρ. 2, άρθρο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ΜΑΡΟΚΟ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3820/2010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παρ. 2, άρθρο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5% (εάν ο πραγματικός δικαιούχος είναι εταιρεία -εκτός από προσωπική εταιρεία-, η οποία κατέχει άμεσα τουλάχιστον το 25% του κεφαλαίου της εταιρείας που καταβάλλει τα μερίσματα).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10% (στις λοιπές περιπτώσεις).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 ΣΑΟΥΔΙΚΗ ΑΡΑΒΙΑ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3821/2010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παρ. 2, άρθρο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5%</w:t>
            </w:r>
            <w:r>
              <w:rPr>
                <w:rStyle w:val="Hyperlink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none" w:color="0000EE"/>
                <w:vertAlign w:val="superscript"/>
                <w:lang w:val="el" w:eastAsia="el"/>
              </w:rPr>
              <w:footnoteReference w:id="3"/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 ΣΕΡΒΙΑ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3825/2010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παρ. 2, άρθρο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1) 5% (εάν ο πραγματικός δικαιούχος είναι εταιρεία -εκτός από προσωπική εταιρεία-, η οποία κατέχει άμεσα τουλάχιστον το 25% του κεφαλαίου της εταιρείας που καταβάλλει τα μερίσματα).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2) 15% (στις λοιπές περιπτώσεις).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 ΤΥΝΗΣΙΑ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3742/2009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παρ. 2α, άρθρο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35%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/>
        <w:rPr>
          <w:rStyle w:val="Hyperlink"/>
          <w:b w:val="0"/>
          <w:bCs w:val="0"/>
          <w:i w:val="0"/>
          <w:iCs w:val="0"/>
          <w:smallCaps w:val="0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b w:val="0"/>
          <w:bCs w:val="0"/>
          <w:i w:val="0"/>
          <w:iCs w:val="0"/>
          <w:smallCaps w:val="0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b w:val="0"/>
          <w:bCs w:val="0"/>
          <w:i w:val="0"/>
          <w:iCs w:val="0"/>
          <w:smallCaps w:val="0"/>
          <w:color w:val="000000"/>
          <w:lang w:val="el" w:eastAsia="el"/>
        </w:rPr>
        <w:t>Στην περίπτωση που το ποσοστό φόρου, το οποίο προβλέπεται από τις διατάξεις της εσωτερικής μας νομοθεσίας (ΚΦΕ-ν.2238/1994), είναι ευνοϊκότερο από τα αναφερόμενα στον εν λόγω Πίνακα, τότε θα εφαρμόζεται το ποσοστό που ορίζεται από τις διατάξεις της εσωτερικής μας νομοθεσίας.</w:t>
      </w:r>
    </w:p>
  </w:footnote>
  <w:footnote w:id="3">
    <w:p>
      <w:pPr>
        <w:pStyle w:val="Footnotes"/>
        <w:spacing w:before="240"/>
        <w:rPr>
          <w:rStyle w:val="Hyperlink"/>
          <w:b w:val="0"/>
          <w:bCs w:val="0"/>
          <w:i w:val="0"/>
          <w:iCs w:val="0"/>
          <w:smallCaps w:val="0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b w:val="0"/>
          <w:bCs w:val="0"/>
          <w:i w:val="0"/>
          <w:iCs w:val="0"/>
          <w:smallCaps w:val="0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b w:val="0"/>
          <w:bCs w:val="0"/>
          <w:i w:val="0"/>
          <w:iCs w:val="0"/>
          <w:smallCaps w:val="0"/>
          <w:color w:val="000000"/>
          <w:lang w:val="el" w:eastAsia="el"/>
        </w:rPr>
        <w:t>Επισημαίνεται ότι, εάν τα μερίσματα αποκτώνται από την Κυβέρνηση του Βασιλείου της Σαουδικής Αραβίας [συμπεριλαμβανομένης και της Σαουδαραβικής Νομισματικής Αρχής (Saudi Arabian Monetary Agency)] και από οντότητες που ανήκουν εξ ολοκλήρου στο Κράτος της Σαουδικής Αραβίας, απαλλάσσονται από το φόρο στην Ελλάδα (άρθρο 27).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