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Αθήνα, 26.8.2011</w:t>
      </w:r>
    </w:p>
    <w:p>
      <w:pPr>
        <w:spacing w:before="240" w:after="240"/>
        <w:rPr>
          <w:lang w:val="el" w:eastAsia="el"/>
        </w:rPr>
      </w:pPr>
      <w:r>
        <w:rPr>
          <w:lang w:val="el" w:eastAsia="el"/>
        </w:rPr>
        <w:t>ΠΟΛ. 1182</w:t>
      </w:r>
    </w:p>
    <w:p>
      <w:pPr>
        <w:spacing w:before="240" w:after="240"/>
        <w:rPr>
          <w:lang w:val="el" w:eastAsia="el"/>
        </w:rPr>
      </w:pPr>
      <w:r>
        <w:rPr>
          <w:lang w:val="el" w:eastAsia="el"/>
        </w:rPr>
        <w:t>ΑΝΑΡΤΗΤΕΑ ΣΤΟ ΔΙΑΔΙΚΤΥΟ</w:t>
      </w:r>
    </w:p>
    <w:p>
      <w:pPr>
        <w:spacing w:before="240" w:after="240"/>
        <w:rPr>
          <w:lang w:val="el" w:eastAsia="el"/>
        </w:rPr>
      </w:pPr>
      <w:r>
        <w:rPr>
          <w:b/>
          <w:bCs/>
          <w:lang w:val="el" w:eastAsia="el"/>
        </w:rPr>
        <w:t>Ταχ. Δ/νση : Σίνα 2-4</w:t>
      </w:r>
    </w:p>
    <w:p>
      <w:pPr>
        <w:spacing w:before="240" w:after="240"/>
        <w:rPr>
          <w:lang w:val="el" w:eastAsia="el"/>
        </w:rPr>
      </w:pPr>
      <w:r>
        <w:rPr>
          <w:b/>
          <w:bCs/>
          <w:lang w:val="el" w:eastAsia="el"/>
        </w:rPr>
        <w:t>Ταχ. Κώδικας: 106 72 ΑΘΗΝΑ</w:t>
      </w:r>
    </w:p>
    <w:p>
      <w:pPr>
        <w:spacing w:before="240" w:after="240"/>
        <w:rPr>
          <w:lang w:val="el" w:eastAsia="el"/>
        </w:rPr>
      </w:pPr>
      <w:r>
        <w:rPr>
          <w:b/>
          <w:bCs/>
          <w:lang w:val="el" w:eastAsia="el"/>
        </w:rPr>
        <w:t>Πληροφορίες : Τατ. Σφελινιώτη</w:t>
      </w:r>
    </w:p>
    <w:p>
      <w:pPr>
        <w:spacing w:before="240" w:after="240"/>
        <w:rPr>
          <w:lang w:val="el" w:eastAsia="el"/>
        </w:rPr>
      </w:pPr>
      <w:r>
        <w:rPr>
          <w:b/>
          <w:bCs/>
          <w:lang w:val="el" w:eastAsia="el"/>
        </w:rPr>
        <w:t>Τηλέφωνο</w:t>
      </w:r>
    </w:p>
    <w:p>
      <w:pPr>
        <w:spacing w:before="240" w:after="240"/>
        <w:rPr>
          <w:lang w:val="el" w:eastAsia="el"/>
        </w:rPr>
      </w:pPr>
      <w:r>
        <w:rPr>
          <w:b/>
          <w:bCs/>
          <w:lang w:val="el" w:eastAsia="el"/>
        </w:rPr>
        <w:t>Fax e-mail</w:t>
      </w:r>
    </w:p>
    <w:p>
      <w:pPr>
        <w:spacing w:before="240" w:after="240"/>
        <w:rPr>
          <w:lang w:val="el" w:eastAsia="el"/>
        </w:rPr>
      </w:pPr>
      <w:r>
        <w:rPr>
          <w:b/>
          <w:bCs/>
          <w:lang w:val="el" w:eastAsia="el"/>
        </w:rPr>
        <w:t>ΘΕΜΑ: Διευκρινίσεις για τον εφαρμοζόμενο συντελεστή ΦΠΑ στην εστίαση γενικά.</w:t>
      </w:r>
    </w:p>
    <w:p>
      <w:pPr>
        <w:spacing w:before="240" w:after="240"/>
        <w:rPr>
          <w:lang w:val="el" w:eastAsia="el"/>
        </w:rPr>
      </w:pPr>
      <w:r>
        <w:rPr>
          <w:lang w:val="el" w:eastAsia="el"/>
        </w:rPr>
        <w:t>Σχετικά με τις διατάξεις του άρθρου 34 του ν.3986/2011 «Επείγοντα μέτρα εφαρμογής Μεσοπρόθεσμου Πλαισίου Δημοσιονομικής Στρατηγικής 2012 - 2015» και κατόπιν της εγκυκλίου ΠΟΛ 1170/5.8.2011, παρέχονται οι ακόλουθες διευκρινίσεις:</w:t>
      </w:r>
    </w:p>
    <w:p>
      <w:pPr>
        <w:spacing w:before="240" w:after="240"/>
        <w:rPr>
          <w:lang w:val="el" w:eastAsia="el"/>
        </w:rPr>
      </w:pPr>
      <w:r>
        <w:rPr>
          <w:lang w:val="el" w:eastAsia="el"/>
        </w:rPr>
        <w:t xml:space="preserve">1. Σύμφωνα με την παράγραφο 1 του άρθρου 34 του ν.3986/2011, από </w:t>
      </w:r>
      <w:r>
        <w:rPr>
          <w:b/>
          <w:bCs/>
          <w:lang w:val="el" w:eastAsia="el"/>
        </w:rPr>
        <w:t xml:space="preserve">1.9.2011 </w:t>
      </w:r>
      <w:r>
        <w:rPr>
          <w:lang w:val="el" w:eastAsia="el"/>
        </w:rPr>
        <w:t>η εστίαση γενικά υπάγεται στον κανονικό συντελεστή ΦΠΑ (</w:t>
      </w:r>
      <w:r>
        <w:rPr>
          <w:b/>
          <w:bCs/>
          <w:lang w:val="el" w:eastAsia="el"/>
        </w:rPr>
        <w:t>23%</w:t>
      </w:r>
      <w:r>
        <w:rPr>
          <w:lang w:val="el" w:eastAsia="el"/>
        </w:rPr>
        <w:t xml:space="preserve">). Η διάταξη αυτή αφορά και τις υπηρεσίες εστίασης που παρέχονται στις </w:t>
      </w:r>
      <w:r>
        <w:rPr>
          <w:b/>
          <w:bCs/>
          <w:lang w:val="el" w:eastAsia="el"/>
        </w:rPr>
        <w:t>ξενοδοχειακές επιχειρήσεις και τα λοιπά καταλύματα</w:t>
      </w:r>
      <w:r>
        <w:rPr>
          <w:lang w:val="el" w:eastAsia="el"/>
        </w:rPr>
        <w:t xml:space="preserve">, των οποίων οι υπηρεσίες διαμονής φορολογούνται, από 1.1.2011, με τον υπερμειωμένο συντελεστή ΦΠΑ (6,5%). Με στόχο την αποφυγή ουσιαστικής επιβάρυνσης του ξενοδοχειακού τομέα, ο οποίος συμβάλλει σημαντικά στην ανάπτυξη του τουρισμού, λαμβάνοντας υπόψη και το γεγονός ότι τα τουριστικά πακέτα συμφωνούνται σε χρόνο προγενέστερο της εκτέλεσής τους, στην περίπτωση που οι ξενοδοχειακές επιχειρήσεις παρέχουν υπηρεσίες διαμονής και εστίασης ή άλλες υπηρεσίες έναντι ενιαίας τιμής, υπό την προϋπόθεση ότι ο διαχωρισμός στους επί μέρους συντελεστές δεν είναι εφικτός, γίνεται δεκτό η διάκριση, κατά συντελεστή φόρου, από </w:t>
      </w:r>
      <w:r>
        <w:rPr>
          <w:b/>
          <w:bCs/>
          <w:lang w:val="el" w:eastAsia="el"/>
        </w:rPr>
        <w:t>1.9.2011</w:t>
      </w:r>
      <w:r>
        <w:rPr>
          <w:lang w:val="el" w:eastAsia="el"/>
        </w:rPr>
        <w:t>, να γίνεται ως εξής:</w:t>
      </w:r>
    </w:p>
    <w:p>
      <w:pPr>
        <w:spacing w:before="240" w:after="240"/>
        <w:rPr>
          <w:lang w:val="el" w:eastAsia="el"/>
        </w:rPr>
      </w:pPr>
      <w:r>
        <w:rPr>
          <w:b/>
          <w:bCs/>
          <w:lang w:val="el" w:eastAsia="el"/>
        </w:rPr>
        <w:t>α. Διαμονή με πρωινό</w:t>
      </w:r>
      <w:r>
        <w:rPr>
          <w:lang w:val="el" w:eastAsia="el"/>
        </w:rPr>
        <w:t xml:space="preserve">: </w:t>
      </w:r>
      <w:r>
        <w:rPr>
          <w:b/>
          <w:bCs/>
          <w:lang w:val="el" w:eastAsia="el"/>
        </w:rPr>
        <w:t xml:space="preserve">5% </w:t>
      </w:r>
      <w:r>
        <w:rPr>
          <w:lang w:val="el" w:eastAsia="el"/>
        </w:rPr>
        <w:t>της ενιαίας τιμής υπάγεται στον κανονικό συντελεστή ΦΠΑ, ως αντιπαροχή που καταβάλλεται για το πρωινό.</w:t>
      </w:r>
    </w:p>
    <w:p>
      <w:pPr>
        <w:spacing w:before="240" w:after="240"/>
        <w:rPr>
          <w:lang w:val="el" w:eastAsia="el"/>
        </w:rPr>
      </w:pPr>
      <w:r>
        <w:rPr>
          <w:b/>
          <w:bCs/>
          <w:lang w:val="el" w:eastAsia="el"/>
        </w:rPr>
        <w:t>β. Διαμονή με ημιδιατροφή</w:t>
      </w:r>
      <w:r>
        <w:rPr>
          <w:lang w:val="el" w:eastAsia="el"/>
        </w:rPr>
        <w:t xml:space="preserve">: </w:t>
      </w:r>
      <w:r>
        <w:rPr>
          <w:b/>
          <w:bCs/>
          <w:lang w:val="el" w:eastAsia="el"/>
        </w:rPr>
        <w:t xml:space="preserve">15% </w:t>
      </w:r>
      <w:r>
        <w:rPr>
          <w:lang w:val="el" w:eastAsia="el"/>
        </w:rPr>
        <w:t>της ενιαίας τιμής υπάγεται στον κανονικό συντελεστή ΦΠΑ, ως αντιπαροχή για το πρωινό και το γεύμα.</w:t>
      </w:r>
    </w:p>
    <w:p>
      <w:pPr>
        <w:spacing w:before="240" w:after="240"/>
        <w:rPr>
          <w:lang w:val="el" w:eastAsia="el"/>
        </w:rPr>
      </w:pPr>
      <w:r>
        <w:rPr>
          <w:b/>
          <w:bCs/>
          <w:lang w:val="el" w:eastAsia="el"/>
        </w:rPr>
        <w:t xml:space="preserve">γ. Διαμονή με το σύστημα all inclusive </w:t>
      </w:r>
      <w:r>
        <w:rPr>
          <w:lang w:val="el" w:eastAsia="el"/>
        </w:rPr>
        <w:t xml:space="preserve">(πλήρης διατροφή περιλαμβανομένης της κατανάλωσης ποτών και της παροχής λοιπών υπηρεσιών που περιλαμβάνονται στο πακέτο, όπως τηλεφωνική εξυπηρέτηση, χρήση ομπρελών, αθλητικές υπηρεσίες κ.α.): </w:t>
      </w:r>
      <w:r>
        <w:rPr>
          <w:b/>
          <w:bCs/>
          <w:lang w:val="el" w:eastAsia="el"/>
        </w:rPr>
        <w:t xml:space="preserve">30% </w:t>
      </w:r>
      <w:r>
        <w:rPr>
          <w:lang w:val="el" w:eastAsia="el"/>
        </w:rPr>
        <w:t>της ενιαίας τιμής υπάγεται στον κανονικό συντελεστή ΦΠΑ, ως αντιπαροχή που καταβάλλεται για τις υπηρεσίες εστίασης, για τις καταναλώσεις αλκοολούχων ή μη ποτών και για τις λοιπές παροχές που ενδεχομένως περιλαμβάνει το πακέτο.</w:t>
      </w:r>
    </w:p>
    <w:p>
      <w:pPr>
        <w:spacing w:before="240" w:after="240"/>
        <w:rPr>
          <w:lang w:val="el" w:eastAsia="el"/>
        </w:rPr>
      </w:pPr>
      <w:r>
        <w:rPr>
          <w:lang w:val="el" w:eastAsia="el"/>
        </w:rPr>
        <w:t>2. Επισημαίνεται ότι βασική αρχή του συστήματος ΦΠΑ είναι η επιβολή του φόρου επί των αγαθών και υπηρεσιών κατά αντικειμενικό τρόπο, δηλαδή για κάθε αγαθό ή υπηρεσία εφαρμόζεται ο ανάλογος συντελεστής ΦΠΑ ανεξάρτητα από την ιδιότητα του αγοραστή και τη χώρα προέλευσής του.</w:t>
      </w:r>
    </w:p>
    <w:p>
      <w:pPr>
        <w:spacing w:before="240" w:after="240"/>
        <w:rPr>
          <w:lang w:val="el" w:eastAsia="el"/>
        </w:rPr>
      </w:pPr>
      <w:r>
        <w:rPr>
          <w:lang w:val="el" w:eastAsia="el"/>
        </w:rPr>
        <w:t xml:space="preserve">3. Ακόμα σημειώνεται ότι μία επιχείρηση που εμπορεύεται διαφορετικά είδη αγαθών ή παρέχει διαφορετικά είδη υπηρεσιών και ανεξάρτητα από τον κωδικό δραστηριότητας που αφορά την κύρια δραστηριότητά της, υποχρεούται να εφαρμόζει τον κατά περίπτωση συντελεστή ΦΠΑ ο οποίος ισχύει για κάθε συγκεκριμένο αγαθό ή κάθε συγκεκριμένη υπηρεσία. Π.χ. (α) επιχείριση που εκμεταλλεύεται παντοπωλείο και ταβέρνα, για τα τυποποιημένα είδη διατροφής του παντοπωλείου εφαρμόζει το μειωμένο συντελεστή, ενώ για την ταβέρνα εφαρμόζει τον κανονικό συντελεστή, (β) σούπερ μάρκετ που διατηρεί και τμήμα παράδοσης έτοιμων γευμάτων, για τα προϊόντα του σούπερ μάρκετ εφαρμόζει τον ανάλογο συντελεστή (μειωμένο </w:t>
      </w:r>
      <w:r>
        <w:rPr>
          <w:b/>
          <w:bCs/>
          <w:lang w:val="el" w:eastAsia="el"/>
        </w:rPr>
        <w:t xml:space="preserve">13% </w:t>
      </w:r>
      <w:r>
        <w:rPr>
          <w:lang w:val="el" w:eastAsia="el"/>
        </w:rPr>
        <w:t>για τα τυποποιημένα είδη διατροφής) και τον κανονικό συντελεστή (</w:t>
      </w:r>
      <w:r>
        <w:rPr>
          <w:b/>
          <w:bCs/>
          <w:lang w:val="el" w:eastAsia="el"/>
        </w:rPr>
        <w:t>23%</w:t>
      </w:r>
      <w:r>
        <w:rPr>
          <w:lang w:val="el" w:eastAsia="el"/>
        </w:rPr>
        <w:t>) για την παράδοση έτοιμων γευμάτων.</w:t>
      </w:r>
    </w:p>
    <w:p>
      <w:pPr>
        <w:spacing w:before="240" w:after="240"/>
        <w:rPr>
          <w:lang w:val="el" w:eastAsia="el"/>
        </w:rPr>
      </w:pPr>
      <w:r>
        <w:rPr>
          <w:lang w:val="el" w:eastAsia="el"/>
        </w:rPr>
        <w:t xml:space="preserve">4. Ειδικότερα διευκρινίζεται ότι, όπως αναλυτικά αναφέρεται στην εγκύκλιο ΠΟΛ 1170/11, τα </w:t>
      </w:r>
      <w:r>
        <w:rPr>
          <w:b/>
          <w:bCs/>
          <w:lang w:val="el" w:eastAsia="el"/>
        </w:rPr>
        <w:t xml:space="preserve">τυποποιημένα είδη διατροφής </w:t>
      </w:r>
      <w:r>
        <w:rPr>
          <w:lang w:val="el" w:eastAsia="el"/>
        </w:rPr>
        <w:t>συνεχίζουν να υπάγονται στο μειωμένο συντελεστή (</w:t>
      </w:r>
      <w:r>
        <w:rPr>
          <w:b/>
          <w:bCs/>
          <w:lang w:val="el" w:eastAsia="el"/>
        </w:rPr>
        <w:t>13%</w:t>
      </w:r>
      <w:r>
        <w:rPr>
          <w:lang w:val="el" w:eastAsia="el"/>
        </w:rPr>
        <w:t>), παρότι είναι έτοιμα για άμεση κατανάλωση.</w:t>
      </w:r>
    </w:p>
    <w:p>
      <w:pPr>
        <w:spacing w:before="240" w:after="240"/>
        <w:rPr>
          <w:lang w:val="el" w:eastAsia="el"/>
        </w:rPr>
      </w:pPr>
      <w:r>
        <w:rPr>
          <w:lang w:val="el" w:eastAsia="el"/>
        </w:rPr>
        <w:t>Τυποποιημένα θεωρούνται τα είδη διατροφής, τα οποία παρασκευάζονται για ευρεία κατανάλωση και διατίθενται προς πώληση συσκευασμένα ή είναι εμπορεύσιμα σε μεγάλες συσκευασίες ή ποσότητες και πωλούνται χύμα ή κομμένα σε μικρότερες ποσότητες. Η περίπτωση αυτή αφορά τα προϊόντα που παρουσιάζονται στα σημεία πώλησης συσκευασμένα, όπως κονσέρβες, αλλαντικά, αλίπαστα, γιαούρτια, έτοιμες σαλάτες, (ταραμοσαλάτα, τυροσαλάτα, ρώσικη, κλπ.), καθώς και είδη διατροφής που παρουσιάζονται σε μεγάλες συσκευασίες ή μεγάλες ποσότητες και διατίθενται χύμα ή κομμένα σε μικρότερες ποσότητες, όπως αλλαντικά, αλίπαστα, τυριά, ελιές, τουρσί και λοιπά παρόμοια.</w:t>
      </w:r>
    </w:p>
    <w:p>
      <w:pPr>
        <w:spacing w:before="240" w:after="240"/>
        <w:rPr>
          <w:lang w:val="el" w:eastAsia="el"/>
        </w:rPr>
      </w:pPr>
      <w:r>
        <w:rPr>
          <w:lang w:val="el" w:eastAsia="el"/>
        </w:rPr>
        <w:t>Σημειώνεται ότι η τοποθέτηση σάντουιτς σε πλαστική ή άλλη συσκευασία δεν καθιστά τα αγαθά αυτά τυποποιημένα, κατά συνέπεια υπάγονται στον κανονικό συντελεστή ΦΠΑ.</w:t>
      </w:r>
    </w:p>
    <w:p>
      <w:pPr>
        <w:spacing w:before="240" w:after="240"/>
        <w:rPr>
          <w:lang w:val="el" w:eastAsia="el"/>
        </w:rPr>
      </w:pPr>
      <w:r>
        <w:rPr>
          <w:lang w:val="el" w:eastAsia="el"/>
        </w:rPr>
        <w:t>Είναι αυτονόητο ότι στο μειωμένο συντελεστή (</w:t>
      </w:r>
      <w:r>
        <w:rPr>
          <w:b/>
          <w:bCs/>
          <w:lang w:val="el" w:eastAsia="el"/>
        </w:rPr>
        <w:t>13%</w:t>
      </w:r>
      <w:r>
        <w:rPr>
          <w:lang w:val="el" w:eastAsia="el"/>
        </w:rPr>
        <w:t>) συνεχίζουν να υπάγονται τα μη παρασκευασμένα είδη διατροφής (ζυμαρικά, όσπρια, λαχανικά, φρούτα, κρέατα, ψάρια, και λοιπά είδη διατροφής, φρέσκα ή κατεψυγμένα), καθώς και τα παρασκευασμένα είδη διατροφής που διατίθενται κατεψυγμένα ανεξάρτητα από τον κωδικό δραστηριότητας της επιχείρησης.</w:t>
      </w:r>
    </w:p>
    <w:p>
      <w:pPr>
        <w:spacing w:before="240" w:after="240"/>
        <w:rPr>
          <w:lang w:val="el" w:eastAsia="el"/>
        </w:rPr>
      </w:pPr>
      <w:r>
        <w:rPr>
          <w:lang w:val="el" w:eastAsia="el"/>
        </w:rPr>
        <w:t>5. Η παράδοση ψωμιού συνεχίζει να υπάγεται στο μειωμένο συντελεστή ΦΠΑ (13%). Στον ίδιο συντελεστή συνεχίζουν να υπάγονται και τα απλά αρτοσκευάσματα, όπως παξιμάδια, κριτσίνια, φρυγανιές, κουλούρια, κρουασάν, μπισκότα, κέικ και βουτήματα ζαχαροπλαστικής.</w:t>
      </w:r>
    </w:p>
    <w:p>
      <w:pPr>
        <w:spacing w:before="240" w:after="240"/>
        <w:rPr>
          <w:lang w:val="el" w:eastAsia="el"/>
        </w:rPr>
      </w:pPr>
      <w:r>
        <w:rPr>
          <w:lang w:val="el" w:eastAsia="el"/>
        </w:rPr>
        <w:t>6. Τονίζεται ότι το φυσικό ή τεχνητό μεταλλικό νερό, μη αεριούχο, εξακολουθεί να υπάγεται στο μειωμένο συντελεστή (</w:t>
      </w:r>
      <w:r>
        <w:rPr>
          <w:b/>
          <w:bCs/>
          <w:lang w:val="el" w:eastAsia="el"/>
        </w:rPr>
        <w:t>13%</w:t>
      </w:r>
      <w:r>
        <w:rPr>
          <w:lang w:val="el" w:eastAsia="el"/>
        </w:rPr>
        <w:t>)</w:t>
      </w:r>
    </w:p>
    <w:p>
      <w:pPr>
        <w:spacing w:before="240" w:after="240"/>
        <w:rPr>
          <w:lang w:val="el" w:eastAsia="el"/>
        </w:rPr>
      </w:pPr>
      <w:r>
        <w:rPr>
          <w:lang w:val="el" w:eastAsia="el"/>
        </w:rPr>
        <w:t>7. Επισημαίνεται τέλος ότι ο εφαρμοζόμενος συντελεστής ΦΠΑ δεν εξαρτάται από τη λιανική ή χονδρική παράδοση των αγαθών.</w:t>
      </w:r>
    </w:p>
    <w:p>
      <w:pPr>
        <w:spacing w:before="240" w:after="240"/>
        <w:rPr>
          <w:lang w:val="el" w:eastAsia="el"/>
        </w:rPr>
      </w:pPr>
      <w:r>
        <w:rPr>
          <w:lang w:val="el" w:eastAsia="el"/>
        </w:rPr>
        <w:t>8. Για θέματα που δεν αντιμετωπίζονται με την παρούσα εγκύκλιο, ισχύουν τα αναφερόμενα στην εγκύκλιό μας ΠΟΛ 1170/5.8.11.</w:t>
      </w:r>
    </w:p>
    <w:p>
      <w:pPr>
        <w:spacing w:before="240" w:after="240"/>
        <w:rPr>
          <w:lang w:val="el" w:eastAsia="el"/>
        </w:rPr>
      </w:pPr>
      <w:r>
        <w:rPr>
          <w:b/>
          <w:bCs/>
          <w:lang w:val="el" w:eastAsia="el"/>
        </w:rPr>
        <w:t>Ο Γενικός Γραμματέας</w:t>
      </w:r>
    </w:p>
    <w:p>
      <w:pPr>
        <w:spacing w:before="240" w:after="240"/>
        <w:rPr>
          <w:lang w:val="el" w:eastAsia="el"/>
        </w:rPr>
      </w:pPr>
      <w:r>
        <w:rPr>
          <w:b/>
          <w:bCs/>
          <w:lang w:val="el" w:eastAsia="el"/>
        </w:rPr>
        <w:t>Ιωάννης Καπελέρης</w:t>
      </w:r>
    </w:p>
    <w:p>
      <w:pPr>
        <w:spacing w:before="240" w:after="240"/>
        <w:rPr>
          <w:lang w:val="el" w:eastAsia="el"/>
        </w:rPr>
      </w:pPr>
      <w:r>
        <w:rPr>
          <w:b/>
          <w:bCs/>
          <w:u w:val="single"/>
          <w:lang w:val="el" w:eastAsia="el"/>
        </w:rPr>
        <w:t>ΠΙΝΑΚΑΣ ΔΙΑΝΟΜΗΣ:</w:t>
      </w:r>
    </w:p>
    <w:p>
      <w:pPr>
        <w:spacing w:before="240" w:after="240"/>
        <w:rPr>
          <w:lang w:val="el" w:eastAsia="el"/>
        </w:rPr>
      </w:pPr>
      <w:r>
        <w:rPr>
          <w:b/>
          <w:bCs/>
          <w:u w:val="single"/>
          <w:lang w:val="el" w:eastAsia="el"/>
        </w:rPr>
        <w:t>Ι. ΑΠΟΔΕΚΕΤΕΣ ΓΙΑ ΕΝΕΡΓΕΙΑ</w:t>
      </w:r>
    </w:p>
    <w:p>
      <w:pPr>
        <w:spacing w:before="240" w:after="240"/>
        <w:rPr>
          <w:lang w:val="el" w:eastAsia="el"/>
        </w:rPr>
      </w:pPr>
      <w:r>
        <w:rPr>
          <w:lang w:val="el" w:eastAsia="el"/>
        </w:rPr>
        <w:t>1. Αποδέκτες Πίνακα Β΄ εκτός του αριθ. 2</w:t>
      </w:r>
    </w:p>
    <w:p>
      <w:pPr>
        <w:spacing w:before="240" w:after="240"/>
        <w:rPr>
          <w:lang w:val="el" w:eastAsia="el"/>
        </w:rPr>
      </w:pPr>
      <w:r>
        <w:rPr>
          <w:lang w:val="el" w:eastAsia="el"/>
        </w:rPr>
        <w:t>2. Αποδέκτες Πίνακα ΣΤ΄ μόνο οι αριθ. 1 &amp; 2</w:t>
      </w:r>
    </w:p>
    <w:p>
      <w:pPr>
        <w:spacing w:before="240" w:after="240"/>
        <w:rPr>
          <w:lang w:val="el" w:eastAsia="el"/>
        </w:rPr>
      </w:pPr>
      <w:r>
        <w:rPr>
          <w:lang w:val="el" w:eastAsia="el"/>
        </w:rPr>
        <w:t>3. 30</w:t>
      </w:r>
      <w:r>
        <w:rPr>
          <w:sz w:val="30"/>
          <w:szCs w:val="30"/>
          <w:vertAlign w:val="superscript"/>
          <w:lang w:val="el" w:eastAsia="el"/>
        </w:rPr>
        <w:t>η</w:t>
      </w:r>
      <w:r>
        <w:rPr>
          <w:lang w:val="el" w:eastAsia="el"/>
        </w:rPr>
        <w:t xml:space="preserve"> Δ/νση Εφαρμογών Η/Υ</w:t>
      </w:r>
    </w:p>
    <w:p>
      <w:pPr>
        <w:spacing w:before="240" w:after="240"/>
        <w:rPr>
          <w:lang w:val="el" w:eastAsia="el"/>
        </w:rPr>
      </w:pPr>
      <w:r>
        <w:rPr>
          <w:b/>
          <w:bCs/>
          <w:lang w:val="el" w:eastAsia="el"/>
        </w:rPr>
        <w:t>ΙΙ. ΑΠΟΔΕΚΤΕΣ ΓΙΑ ΚΟΙΝΟΠΟΙΗΣΗ</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669"/>
        <w:gridCol w:w="1288"/>
        <w:gridCol w:w="1288"/>
        <w:gridCol w:w="3769"/>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Αποδέκτες Πίνακα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ΣΤ΄ εκτός των αριθμ.1 και 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Ζ΄.</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Θ΄. εκτός των αριθμ.8</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 μόνο οι αριθμ. 1 και 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ΙΒ΄.</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ΙΓ΄ μόνο οι αριθμ. 2 και 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ΙΕ΄.</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ΙΣΤ΄.</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ΙΘ΄.</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ΚΓ΄.</w:t>
            </w:r>
          </w:p>
        </w:tc>
      </w:tr>
    </w:tbl>
    <w:p>
      <w:pPr>
        <w:spacing w:before="240" w:after="240"/>
        <w:rPr>
          <w:lang w:val="el" w:eastAsia="el"/>
        </w:rPr>
      </w:pPr>
      <w:r>
        <w:rPr>
          <w:lang w:val="el" w:eastAsia="el"/>
        </w:rPr>
        <w:t>16. Μ.Ε.Τ.Α. - Πανεπιστημίου 37 – 101 65 – ΑΘΗΝΑ.</w:t>
      </w:r>
    </w:p>
    <w:p>
      <w:pPr>
        <w:spacing w:before="240" w:after="240"/>
        <w:rPr>
          <w:lang w:val="el" w:eastAsia="el"/>
        </w:rPr>
      </w:pPr>
      <w:r>
        <w:rPr>
          <w:b/>
          <w:bCs/>
          <w:u w:val="single"/>
          <w:lang w:val="el" w:eastAsia="el"/>
        </w:rPr>
        <w:t>ΙΙΙ. ΕΣΩΤΕΡΙΚΗ ΔΙΑΝΟΜΗ</w:t>
      </w:r>
    </w:p>
    <w:p>
      <w:pPr>
        <w:spacing w:before="240" w:after="240"/>
        <w:rPr>
          <w:lang w:val="el" w:eastAsia="el"/>
        </w:rPr>
      </w:pPr>
      <w:r>
        <w:rPr>
          <w:lang w:val="el" w:eastAsia="el"/>
        </w:rPr>
        <w:t>1. Γραφείο Υπουργού Οικονομικών κ. Ε. Βενιζέλου</w:t>
      </w:r>
    </w:p>
    <w:p>
      <w:pPr>
        <w:spacing w:before="240" w:after="240"/>
        <w:rPr>
          <w:lang w:val="el" w:eastAsia="el"/>
        </w:rPr>
      </w:pPr>
      <w:r>
        <w:rPr>
          <w:lang w:val="el" w:eastAsia="el"/>
        </w:rPr>
        <w:t>2. Γραφείο Αναπλ. Υπουργού κ. Παντ. Οικονόμου</w:t>
      </w:r>
    </w:p>
    <w:p>
      <w:pPr>
        <w:spacing w:before="240" w:after="240"/>
        <w:rPr>
          <w:lang w:val="el" w:eastAsia="el"/>
        </w:rPr>
      </w:pPr>
      <w:r>
        <w:rPr>
          <w:lang w:val="el" w:eastAsia="el"/>
        </w:rPr>
        <w:t>3. Γραφείο Γεν. Γραμματέα Υπ. Οικονομικών κ. Η. Πλασκοβίτη</w:t>
      </w:r>
    </w:p>
    <w:p>
      <w:pPr>
        <w:spacing w:before="240" w:after="240"/>
        <w:rPr>
          <w:lang w:val="el" w:eastAsia="el"/>
        </w:rPr>
      </w:pPr>
      <w:r>
        <w:rPr>
          <w:lang w:val="el" w:eastAsia="el"/>
        </w:rPr>
        <w:t>4. Γραφείο Γεν. Γραμμ. Φορολογ. και Τελων. Θεμάτων κ. Ι. Καπελέρη</w:t>
      </w:r>
    </w:p>
    <w:p>
      <w:pPr>
        <w:spacing w:before="240" w:after="240"/>
        <w:rPr>
          <w:lang w:val="el" w:eastAsia="el"/>
        </w:rPr>
      </w:pPr>
      <w:r>
        <w:rPr>
          <w:lang w:val="el" w:eastAsia="el"/>
        </w:rPr>
        <w:t>5. Γραφείο Γεν. Γραμματέα Γ.Γ.Π.Σ. κ. Διομήδη Σπινέλλη.</w:t>
      </w:r>
    </w:p>
    <w:p>
      <w:pPr>
        <w:spacing w:before="240" w:after="240"/>
        <w:rPr>
          <w:lang w:val="el" w:eastAsia="el"/>
        </w:rPr>
      </w:pPr>
      <w:r>
        <w:rPr>
          <w:lang w:val="el" w:eastAsia="el"/>
        </w:rPr>
        <w:t>6. Γραφεία κ. κ. Γεν. Διευθυντών</w:t>
      </w:r>
    </w:p>
    <w:p>
      <w:pPr>
        <w:spacing w:before="240" w:after="240"/>
        <w:rPr>
          <w:lang w:val="el" w:eastAsia="el"/>
        </w:rPr>
      </w:pPr>
      <w:r>
        <w:rPr>
          <w:lang w:val="el" w:eastAsia="el"/>
        </w:rPr>
        <w:t>7. Γραφείο Τύπου και Δημοσίων Σχέσεων</w:t>
      </w:r>
    </w:p>
    <w:p>
      <w:pPr>
        <w:spacing w:before="240" w:after="240"/>
        <w:rPr>
          <w:lang w:val="el" w:eastAsia="el"/>
        </w:rPr>
      </w:pPr>
      <w:r>
        <w:rPr>
          <w:lang w:val="el" w:eastAsia="el"/>
        </w:rPr>
        <w:t>8. Γραφείο Επικοινωνίας και Πληροφόρησης Πολιτών</w:t>
      </w:r>
    </w:p>
    <w:p>
      <w:pPr>
        <w:spacing w:before="240" w:after="240"/>
        <w:rPr>
          <w:lang w:val="el" w:eastAsia="el"/>
        </w:rPr>
      </w:pPr>
      <w:r>
        <w:rPr>
          <w:lang w:val="el" w:eastAsia="el"/>
        </w:rPr>
        <w:t>9. Τράπεζα Δημοσιονομικών Δεδομένων</w:t>
      </w:r>
    </w:p>
    <w:p>
      <w:pPr>
        <w:spacing w:before="240" w:after="240"/>
        <w:rPr>
          <w:lang w:val="el" w:eastAsia="el"/>
        </w:rPr>
      </w:pPr>
      <w:r>
        <w:rPr>
          <w:lang w:val="el" w:eastAsia="el"/>
        </w:rPr>
        <w:t>10. Υπηρεσία TAXISnet για καταχώρηση στο INTERNET</w:t>
      </w:r>
    </w:p>
    <w:p>
      <w:pPr>
        <w:spacing w:before="240" w:after="240"/>
        <w:rPr>
          <w:lang w:val="el" w:eastAsia="el"/>
        </w:rPr>
      </w:pPr>
      <w:r>
        <w:rPr>
          <w:lang w:val="el" w:eastAsia="el"/>
        </w:rPr>
        <w:t>10 15</w:t>
      </w:r>
      <w:r>
        <w:rPr>
          <w:sz w:val="30"/>
          <w:szCs w:val="30"/>
          <w:vertAlign w:val="superscript"/>
          <w:lang w:val="el" w:eastAsia="el"/>
        </w:rPr>
        <w:t>η</w:t>
      </w:r>
      <w:r>
        <w:rPr>
          <w:lang w:val="el" w:eastAsia="el"/>
        </w:rPr>
        <w:t xml:space="preserve"> Δ/νση ΚΒΣ – Γραφείο κ. Προϊστ. της Δ/νσης</w:t>
      </w:r>
    </w:p>
    <w:p>
      <w:pPr>
        <w:pStyle w:val="StructureList1"/>
        <w:spacing w:before="120" w:after="0"/>
        <w:rPr>
          <w:lang w:val="el" w:eastAsia="el"/>
        </w:rPr>
      </w:pPr>
      <w:r>
        <w:rPr>
          <w:lang w:val="el" w:eastAsia="el"/>
        </w:rPr>
        <w:t>-</w:t>
      </w:r>
      <w:r>
        <w:rPr>
          <w:lang w:val="en" w:eastAsia="en"/>
        </w:rPr>
        <w:tab/>
      </w:r>
      <w:r>
        <w:rPr>
          <w:lang w:val="el" w:eastAsia="el"/>
        </w:rPr>
        <w:t>Τμήμα Β΄(5).</w:t>
      </w:r>
    </w:p>
    <w:p>
      <w:pPr>
        <w:spacing w:before="240" w:after="240"/>
        <w:rPr>
          <w:lang w:val="el" w:eastAsia="el"/>
        </w:rPr>
      </w:pPr>
      <w:r>
        <w:rPr>
          <w:lang w:val="el" w:eastAsia="el"/>
        </w:rPr>
        <w:t>11. 14</w:t>
      </w:r>
      <w:r>
        <w:rPr>
          <w:sz w:val="30"/>
          <w:szCs w:val="30"/>
          <w:vertAlign w:val="superscript"/>
          <w:lang w:val="el" w:eastAsia="el"/>
        </w:rPr>
        <w:t>η</w:t>
      </w:r>
      <w:r>
        <w:rPr>
          <w:lang w:val="el" w:eastAsia="el"/>
        </w:rPr>
        <w:t xml:space="preserve"> Δ/νση ΦΠΑ – Γραφείο κ. Προϊσταμένου της Δ/νσης,</w:t>
      </w:r>
    </w:p>
    <w:p>
      <w:pPr>
        <w:pStyle w:val="StructureList1"/>
        <w:spacing w:before="120" w:after="0"/>
        <w:rPr>
          <w:lang w:val="el" w:eastAsia="el"/>
        </w:rPr>
      </w:pPr>
      <w:r>
        <w:rPr>
          <w:lang w:val="el" w:eastAsia="el"/>
        </w:rPr>
        <w:t>-</w:t>
      </w:r>
      <w:r>
        <w:rPr>
          <w:lang w:val="en" w:eastAsia="en"/>
        </w:rPr>
        <w:tab/>
      </w:r>
      <w:r>
        <w:rPr>
          <w:lang w:val="el" w:eastAsia="el"/>
        </w:rPr>
        <w:t>Τμήματα: Α΄ (15), Β΄(15), Γ΄(2), Ε΄(2).</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