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&amp; ΤΕΛΩΝΕΙΑΚΩΝ ΘΕΜΑΤΩΝ</w:t>
      </w:r>
    </w:p>
    <w:p>
      <w:pPr>
        <w:pStyle w:val="PreambelText"/>
        <w:spacing w:before="240" w:after="240"/>
        <w:rPr>
          <w:lang w:val="el" w:eastAsia="el"/>
        </w:rPr>
      </w:pPr>
      <w:r>
        <w:rPr>
          <w:b/>
          <w:bCs/>
          <w:lang w:val="el" w:eastAsia="el"/>
        </w:rPr>
        <w:t>ΓΕΝΙΚΗ ΔΙΕΥΘΥΝΣΗ</w:t>
      </w:r>
    </w:p>
    <w:p>
      <w:pPr>
        <w:pStyle w:val="PreambelText"/>
        <w:spacing w:before="240" w:after="240"/>
        <w:rPr>
          <w:lang w:val="el" w:eastAsia="el"/>
        </w:rPr>
      </w:pPr>
      <w:r>
        <w:rPr>
          <w:b/>
          <w:bCs/>
          <w:lang w:val="el" w:eastAsia="el"/>
        </w:rPr>
        <w:t>ΓΕΝΙΚΟΥ ΧΗΜΕΙΟΥ ΤΟΥ ΚΡΑΤΟΥΣ</w:t>
      </w:r>
    </w:p>
    <w:p>
      <w:pPr>
        <w:pStyle w:val="PreambelText"/>
        <w:spacing w:before="240" w:after="240"/>
        <w:rPr>
          <w:lang w:val="el" w:eastAsia="el"/>
        </w:rPr>
      </w:pPr>
      <w:r>
        <w:rPr>
          <w:b/>
          <w:bCs/>
          <w:lang w:val="el" w:eastAsia="el"/>
        </w:rPr>
        <w:t>Δ/ΝΣΗ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Διεύθυνση</w:t>
      </w:r>
      <w:r>
        <w:rPr>
          <w:lang w:val="el" w:eastAsia="el"/>
        </w:rPr>
        <w:t>: Αν. Τσόχα 16</w:t>
      </w:r>
    </w:p>
    <w:p>
      <w:pPr>
        <w:spacing w:before="240" w:after="240"/>
        <w:rPr>
          <w:lang w:val="el" w:eastAsia="el"/>
        </w:rPr>
      </w:pPr>
      <w:r>
        <w:rPr>
          <w:b/>
          <w:bCs/>
          <w:lang w:val="el" w:eastAsia="el"/>
        </w:rPr>
        <w:t xml:space="preserve">Ταχ. Κώδικας </w:t>
      </w:r>
      <w:r>
        <w:rPr>
          <w:lang w:val="el" w:eastAsia="el"/>
        </w:rPr>
        <w:t>: 115 21</w:t>
      </w:r>
    </w:p>
    <w:p>
      <w:pPr>
        <w:spacing w:before="240" w:after="240"/>
        <w:rPr>
          <w:lang w:val="el" w:eastAsia="el"/>
        </w:rPr>
      </w:pPr>
      <w:r>
        <w:rPr>
          <w:b/>
          <w:bCs/>
          <w:lang w:val="el" w:eastAsia="el"/>
        </w:rPr>
        <w:t xml:space="preserve">Πληροφορίες </w:t>
      </w:r>
      <w:r>
        <w:rPr>
          <w:lang w:val="el" w:eastAsia="el"/>
        </w:rPr>
        <w:t>: Θ. Σκούμπα</w:t>
      </w:r>
    </w:p>
    <w:p>
      <w:pPr>
        <w:spacing w:before="240" w:after="240"/>
        <w:rPr>
          <w:lang w:val="el" w:eastAsia="el"/>
        </w:rPr>
      </w:pPr>
      <w:r>
        <w:rPr>
          <w:b/>
          <w:bCs/>
          <w:lang w:val="el" w:eastAsia="el"/>
        </w:rPr>
        <w:t xml:space="preserve">Τηλέφωνο </w:t>
      </w:r>
      <w:r>
        <w:rPr>
          <w:lang w:val="el" w:eastAsia="el"/>
        </w:rPr>
        <w:t>:213 2117240</w:t>
      </w:r>
    </w:p>
    <w:p>
      <w:pPr>
        <w:spacing w:before="240" w:after="240"/>
        <w:rPr>
          <w:lang w:val="el" w:eastAsia="el"/>
        </w:rPr>
      </w:pPr>
      <w:r>
        <w:rPr>
          <w:b/>
          <w:bCs/>
          <w:lang w:val="el" w:eastAsia="el"/>
        </w:rPr>
        <w:t xml:space="preserve">Fax </w:t>
      </w:r>
      <w:r>
        <w:rPr>
          <w:lang w:val="el" w:eastAsia="el"/>
        </w:rPr>
        <w:t>:210 6467725</w:t>
      </w:r>
    </w:p>
    <w:p>
      <w:pPr>
        <w:spacing w:before="240" w:after="240"/>
        <w:rPr>
          <w:lang w:val="el" w:eastAsia="el"/>
        </w:rPr>
      </w:pPr>
      <w:r>
        <w:rPr>
          <w:b/>
          <w:bCs/>
          <w:lang w:val="el" w:eastAsia="el"/>
        </w:rPr>
        <w:t xml:space="preserve">e-mail </w:t>
      </w:r>
      <w:r>
        <w:rPr>
          <w:lang w:val="el" w:eastAsia="el"/>
        </w:rPr>
        <w:t>:</w:t>
      </w:r>
      <w:hyperlink r:id="rId4" w:history="1">
        <w:r>
          <w:rPr>
            <w:rStyle w:val="Hyperlink"/>
            <w:color w:val="0000EE"/>
            <w:u w:color="0000EE"/>
            <w:lang w:val="el" w:eastAsia="el"/>
          </w:rPr>
          <w:t>trof@gcsl.gr</w:t>
        </w:r>
      </w:hyperlink>
    </w:p>
    <w:p>
      <w:pPr>
        <w:spacing w:before="240" w:after="240"/>
        <w:rPr>
          <w:lang w:val="el" w:eastAsia="el"/>
        </w:rPr>
      </w:pPr>
      <w:r>
        <w:rPr>
          <w:b/>
          <w:bCs/>
          <w:lang w:val="el" w:eastAsia="el"/>
        </w:rPr>
        <w:t>Αθήνα, 28 Δεκεμβρίου 2011</w:t>
      </w:r>
    </w:p>
    <w:p>
      <w:pPr>
        <w:spacing w:before="240" w:after="240"/>
        <w:rPr>
          <w:lang w:val="el" w:eastAsia="el"/>
        </w:rPr>
      </w:pPr>
      <w:r>
        <w:rPr>
          <w:b/>
          <w:bCs/>
          <w:lang w:val="el" w:eastAsia="el"/>
        </w:rPr>
        <w:t>Αριθ. Πρωτ.: οικ. 30/003/1520/28.12.2011</w:t>
      </w:r>
    </w:p>
    <w:p>
      <w:pPr>
        <w:spacing w:before="240" w:after="240"/>
        <w:rPr>
          <w:lang w:val="el" w:eastAsia="el"/>
        </w:rPr>
      </w:pPr>
      <w:r>
        <w:rPr>
          <w:u w:val="single"/>
          <w:lang w:val="el" w:eastAsia="el"/>
        </w:rPr>
        <w:t>Με ηλεκτρονικό ταχυδρομείο</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Κανονισμός (ΕΕ) 1169/2011 του Ευρωπαϊκού Κοινοβουλίου και του Συμβουλίου σχετικά με την παροχή πληροφοριών για τα τρόφιμα στους καταναλωτές</w:t>
      </w:r>
    </w:p>
    <w:p>
      <w:pPr>
        <w:spacing w:before="240" w:after="240"/>
        <w:rPr>
          <w:lang w:val="el" w:eastAsia="el"/>
        </w:rPr>
      </w:pPr>
      <w:r>
        <w:rPr>
          <w:lang w:val="el" w:eastAsia="el"/>
        </w:rPr>
        <w:t xml:space="preserve">Σας ενημερώνουμε ότι έχει δημοσιευτεί στην Επίσημη Εφημερίδα της Ευρωπαϊκής Ένωσης ο </w:t>
      </w:r>
      <w:r>
        <w:rPr>
          <w:b/>
          <w:bCs/>
          <w:lang w:val="el" w:eastAsia="el"/>
        </w:rPr>
        <w:t xml:space="preserve">κανονισμός (ΕΕ) 1169/2011 </w:t>
      </w:r>
      <w:r>
        <w:rPr>
          <w:lang w:val="el" w:eastAsia="el"/>
        </w:rPr>
        <w:t xml:space="preserve">του Ευρωπαϊκού Κοινοβουλίου και του Συμβουλίου της 25ης Οκτωβρίου 2011 </w:t>
      </w:r>
      <w:r>
        <w:rPr>
          <w:i/>
          <w:iCs/>
          <w:lang w:val="el" w:eastAsia="el"/>
        </w:rPr>
        <w:t>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r>
        <w:rPr>
          <w:lang w:val="el" w:eastAsia="el"/>
        </w:rPr>
        <w:t xml:space="preserve"> (EΕ L 304/22.11.2011, σελ.18-63).</w:t>
      </w:r>
    </w:p>
    <w:p>
      <w:pPr>
        <w:spacing w:before="240" w:after="240"/>
        <w:rPr>
          <w:lang w:val="el" w:eastAsia="el"/>
        </w:rPr>
      </w:pPr>
      <w:r>
        <w:rPr>
          <w:lang w:val="el" w:eastAsia="el"/>
        </w:rPr>
        <w:t xml:space="preserve">Ο καν. (ΕΕ) 1169/2011 θεσπίζει τις </w:t>
      </w:r>
      <w:r>
        <w:rPr>
          <w:u w:val="single"/>
          <w:lang w:val="el" w:eastAsia="el"/>
        </w:rPr>
        <w:t>γενικές αρχές,</w:t>
      </w:r>
      <w:r>
        <w:rPr>
          <w:u w:val="single"/>
          <w:lang w:val="el" w:eastAsia="el"/>
        </w:rPr>
        <w:t>απαιτήσεις</w:t>
      </w:r>
      <w:r>
        <w:rPr>
          <w:lang w:val="el" w:eastAsia="el"/>
        </w:rPr>
        <w:t xml:space="preserve"> και </w:t>
      </w:r>
      <w:r>
        <w:rPr>
          <w:u w:val="single"/>
          <w:lang w:val="el" w:eastAsia="el"/>
        </w:rPr>
        <w:t>υποχρεώσεις</w:t>
      </w:r>
      <w:r>
        <w:rPr>
          <w:lang w:val="el" w:eastAsia="el"/>
        </w:rPr>
        <w:t xml:space="preserve"> που διέπουν τις πληροφορίες για τα τρόφιμα και ειδικότερα την επισήμανση των τροφίμων, και καθορίζει τα μέσα για την κατοχύρωση του </w:t>
      </w:r>
      <w:r>
        <w:rPr>
          <w:b/>
          <w:bCs/>
          <w:lang w:val="el" w:eastAsia="el"/>
        </w:rPr>
        <w:t xml:space="preserve">δικαιώματος πληροφόρησης </w:t>
      </w:r>
      <w:r>
        <w:rPr>
          <w:lang w:val="el" w:eastAsia="el"/>
        </w:rPr>
        <w:t>των καταναλωτών.</w:t>
      </w:r>
    </w:p>
    <w:p>
      <w:pPr>
        <w:spacing w:before="240" w:after="240"/>
        <w:rPr>
          <w:lang w:val="el" w:eastAsia="el"/>
        </w:rPr>
      </w:pPr>
      <w:r>
        <w:rPr>
          <w:lang w:val="el" w:eastAsia="el"/>
        </w:rPr>
        <w:t xml:space="preserve">Με την παροχή πληροφοριών για τα τρόφιμα επιδιώκεται </w:t>
      </w:r>
      <w:r>
        <w:rPr>
          <w:b/>
          <w:bCs/>
          <w:lang w:val="el" w:eastAsia="el"/>
        </w:rPr>
        <w:t xml:space="preserve">υψηλό επίπεδο προστασίας της υγείας </w:t>
      </w:r>
      <w:r>
        <w:rPr>
          <w:lang w:val="el" w:eastAsia="el"/>
        </w:rPr>
        <w:t xml:space="preserve">και των </w:t>
      </w:r>
      <w:r>
        <w:rPr>
          <w:b/>
          <w:bCs/>
          <w:lang w:val="el" w:eastAsia="el"/>
        </w:rPr>
        <w:t>συμφερόντων των καταναλωτώ</w:t>
      </w:r>
      <w:r>
        <w:rPr>
          <w:lang w:val="el" w:eastAsia="el"/>
        </w:rPr>
        <w:t xml:space="preserve">ν, καθώς αυτή αποτελεί τη βάση για να επιλέγουν οι τελικοί καταναλωτές </w:t>
      </w:r>
      <w:r>
        <w:rPr>
          <w:u w:val="single"/>
          <w:lang w:val="el" w:eastAsia="el"/>
        </w:rPr>
        <w:t>ενημερωμένοι</w:t>
      </w:r>
      <w:r>
        <w:rPr>
          <w:lang w:val="el" w:eastAsia="el"/>
        </w:rPr>
        <w:t xml:space="preserve"> και να κάνουν </w:t>
      </w:r>
      <w:r>
        <w:rPr>
          <w:u w:val="single"/>
          <w:lang w:val="el" w:eastAsia="el"/>
        </w:rPr>
        <w:t>ασφαλή</w:t>
      </w:r>
      <w:r>
        <w:rPr>
          <w:lang w:val="el" w:eastAsia="el"/>
        </w:rPr>
        <w:t xml:space="preserve"> χρήση των τροφίμων.</w:t>
      </w:r>
    </w:p>
    <w:p>
      <w:pPr>
        <w:spacing w:before="240" w:after="240"/>
        <w:rPr>
          <w:lang w:val="el" w:eastAsia="el"/>
        </w:rPr>
      </w:pPr>
      <w:r>
        <w:rPr>
          <w:lang w:val="el" w:eastAsia="el"/>
        </w:rPr>
        <w:t xml:space="preserve">Η έκδοση ενός ενιαίου </w:t>
      </w:r>
      <w:r>
        <w:rPr>
          <w:u w:val="single"/>
          <w:lang w:val="el" w:eastAsia="el"/>
        </w:rPr>
        <w:t>κανονισμού</w:t>
      </w:r>
      <w:r>
        <w:rPr>
          <w:lang w:val="el" w:eastAsia="el"/>
        </w:rPr>
        <w:t xml:space="preserve"> για την αντικατάσταση των ισχυουσών νομοθετικών πράξεων για τη γενική και τη διατροφική επισήμανση των τροφίμων (οδηγία 2000/13/ΕΚ και 90/496/ΕΟΚ αντίστοιχα), καθώς και των οριζόντιων πράξεων στις οποίες περιλαμβάνονται απαιτήσεις επισήμανσης, αποσκοπεί στην </w:t>
      </w:r>
      <w:r>
        <w:rPr>
          <w:b/>
          <w:bCs/>
          <w:lang w:val="el" w:eastAsia="el"/>
        </w:rPr>
        <w:t xml:space="preserve">απλοποίηση της νομοθεσίας </w:t>
      </w:r>
      <w:r>
        <w:rPr>
          <w:lang w:val="el" w:eastAsia="el"/>
        </w:rPr>
        <w:t xml:space="preserve">και την κατοχύρωση της </w:t>
      </w:r>
      <w:r>
        <w:rPr>
          <w:b/>
          <w:bCs/>
          <w:lang w:val="el" w:eastAsia="el"/>
        </w:rPr>
        <w:t>ασφάλειας δικαίου</w:t>
      </w:r>
      <w:r>
        <w:rPr>
          <w:lang w:val="el" w:eastAsia="el"/>
        </w:rPr>
        <w:t>.</w:t>
      </w:r>
    </w:p>
    <w:p>
      <w:pPr>
        <w:spacing w:before="240" w:after="240"/>
        <w:rPr>
          <w:lang w:val="el" w:eastAsia="el"/>
        </w:rPr>
      </w:pPr>
      <w:r>
        <w:rPr>
          <w:lang w:val="el" w:eastAsia="el"/>
        </w:rPr>
        <w:t xml:space="preserve">Ο καν. (ΕΕ) 1169/2011, ενσωματώνει κατ΄ αρχήν </w:t>
      </w:r>
      <w:r>
        <w:rPr>
          <w:u w:val="single"/>
          <w:lang w:val="el" w:eastAsia="el"/>
        </w:rPr>
        <w:t>βασικά στοιχεία της ισχύουσας νομοθεσίας</w:t>
      </w:r>
      <w:r>
        <w:rPr>
          <w:lang w:val="el" w:eastAsia="el"/>
        </w:rPr>
        <w:t xml:space="preserve"> σχετικά με την επισήμανση, τα οποία αποτελούν πολύτιμο κεκτημένο όσον αφορά στην πληροφόρηση των</w:t>
      </w:r>
    </w:p>
    <w:p>
      <w:pPr>
        <w:spacing w:before="240" w:after="240"/>
        <w:rPr>
          <w:lang w:val="el" w:eastAsia="el"/>
        </w:rPr>
      </w:pPr>
      <w:r>
        <w:rPr>
          <w:lang w:val="el" w:eastAsia="el"/>
        </w:rPr>
        <w:t xml:space="preserve">ΑΔΑ: 45Ψ1Η-ΝΝΛ καταναλωτών. Οι βασικές απαιτήσεις σχετικά με τις ισχύουσες υποχρεωτικές ενδείξεις παραμένουν οι ίδιες. Ορισμένες από τις απαιτήσεις έχουν </w:t>
      </w:r>
      <w:r>
        <w:rPr>
          <w:u w:val="single"/>
          <w:lang w:val="el" w:eastAsia="el"/>
        </w:rPr>
        <w:t>επικαιροποιηθεί</w:t>
      </w:r>
      <w:r>
        <w:rPr>
          <w:lang w:val="el" w:eastAsia="el"/>
        </w:rPr>
        <w:t xml:space="preserve"> προκειμένου να ληφθούν υπόψη οι νέες εξελίξεις στον τομέα των πληροφοριών για τα τρόφιμα.</w:t>
      </w:r>
    </w:p>
    <w:p>
      <w:pPr>
        <w:spacing w:before="240" w:after="240"/>
        <w:rPr>
          <w:lang w:val="el" w:eastAsia="el"/>
        </w:rPr>
      </w:pPr>
      <w:r>
        <w:rPr>
          <w:lang w:val="el" w:eastAsia="el"/>
        </w:rPr>
        <w:t xml:space="preserve">Οι σημαντικότερες </w:t>
      </w:r>
      <w:r>
        <w:rPr>
          <w:b/>
          <w:bCs/>
          <w:u w:val="single"/>
          <w:lang w:val="el" w:eastAsia="el"/>
        </w:rPr>
        <w:t>αλλαγές</w:t>
      </w:r>
      <w:r>
        <w:rPr>
          <w:b/>
          <w:bCs/>
          <w:lang w:val="el" w:eastAsia="el"/>
        </w:rPr>
        <w:t>που εισάγονται με τον καν. (ΕΕ) 1169/2011 είναι οι εξής:</w:t>
      </w:r>
    </w:p>
    <w:p>
      <w:pPr>
        <w:spacing w:before="240" w:after="240"/>
        <w:rPr>
          <w:lang w:val="el" w:eastAsia="el"/>
        </w:rPr>
      </w:pPr>
      <w:r>
        <w:rPr>
          <w:b/>
          <w:bCs/>
          <w:lang w:val="el" w:eastAsia="el"/>
        </w:rPr>
        <w:t xml:space="preserve">1. Η </w:t>
      </w:r>
      <w:r>
        <w:rPr>
          <w:b/>
          <w:bCs/>
          <w:lang w:val="el" w:eastAsia="el"/>
        </w:rPr>
        <w:t xml:space="preserve">διατροφική δήλωση </w:t>
      </w:r>
      <w:r>
        <w:rPr>
          <w:b/>
          <w:bCs/>
          <w:lang w:val="el" w:eastAsia="el"/>
        </w:rPr>
        <w:t xml:space="preserve">θα περιλαμβάνεται </w:t>
      </w:r>
      <w:r>
        <w:rPr>
          <w:b/>
          <w:bCs/>
          <w:u w:val="single"/>
          <w:lang w:val="el" w:eastAsia="el"/>
        </w:rPr>
        <w:t>πλέον</w:t>
      </w:r>
      <w:r>
        <w:rPr>
          <w:b/>
          <w:bCs/>
          <w:lang w:val="el" w:eastAsia="el"/>
        </w:rPr>
        <w:t xml:space="preserve"> στον κατάλογο των </w:t>
      </w:r>
      <w:r>
        <w:rPr>
          <w:b/>
          <w:bCs/>
          <w:lang w:val="el" w:eastAsia="el"/>
        </w:rPr>
        <w:t xml:space="preserve">υποχρεωτικών ενδείξεων </w:t>
      </w:r>
      <w:r>
        <w:rPr>
          <w:b/>
          <w:bCs/>
          <w:lang w:val="el" w:eastAsia="el"/>
        </w:rPr>
        <w:t xml:space="preserve">των </w:t>
      </w:r>
      <w:r>
        <w:rPr>
          <w:b/>
          <w:bCs/>
          <w:lang w:val="el" w:eastAsia="el"/>
        </w:rPr>
        <w:t xml:space="preserve">προσυσκευασμένων </w:t>
      </w:r>
      <w:r>
        <w:rPr>
          <w:b/>
          <w:bCs/>
          <w:lang w:val="el" w:eastAsia="el"/>
        </w:rPr>
        <w:t xml:space="preserve">τροφίμων από το </w:t>
      </w:r>
      <w:r>
        <w:rPr>
          <w:b/>
          <w:bCs/>
          <w:lang w:val="el" w:eastAsia="el"/>
        </w:rPr>
        <w:t xml:space="preserve">2016 </w:t>
      </w:r>
      <w:r>
        <w:rPr>
          <w:b/>
          <w:bCs/>
          <w:lang w:val="el" w:eastAsia="el"/>
        </w:rPr>
        <w:t xml:space="preserve">(Κεφάλαιο ΙV, Τμήμα 1, Άρθρο 9, παράγραφος 1 στοιχείο ιβ), ενώ σύμφωνα με την ισχύουσα σχετική οδηγία 90/496/ΕΟΚ [Άρθρο 11α παράγραφος 3 του Κώδικα Τροφίμων και Ποτών (Κ.Τ.Π.)] η διατροφική επισήμανση είναι </w:t>
      </w:r>
      <w:r>
        <w:rPr>
          <w:b/>
          <w:bCs/>
          <w:u w:val="single"/>
          <w:lang w:val="el" w:eastAsia="el"/>
        </w:rPr>
        <w:t>προαιρετική</w:t>
      </w:r>
      <w:r>
        <w:rPr>
          <w:b/>
          <w:bCs/>
          <w:lang w:val="el" w:eastAsia="el"/>
        </w:rPr>
        <w:t xml:space="preserve"> εκτός εάν υπάρχει ισχυρισμός επί θεμάτων διατροφής όσον αφορά στο τρόφιμο. </w:t>
      </w:r>
      <w:r>
        <w:rPr>
          <w:b/>
          <w:bCs/>
          <w:lang w:val="el" w:eastAsia="el"/>
        </w:rPr>
        <w:t xml:space="preserve">Εξαιρέσεις </w:t>
      </w:r>
      <w:r>
        <w:rPr>
          <w:b/>
          <w:bCs/>
          <w:lang w:val="el" w:eastAsia="el"/>
        </w:rPr>
        <w:t>από τη συγκεκριμένη υποχρέωση προβλέπονται στο Άρθρο 16, παράγραφοι 3 και 4.</w:t>
      </w:r>
    </w:p>
    <w:p>
      <w:pPr>
        <w:spacing w:before="240" w:after="240"/>
        <w:rPr>
          <w:lang w:val="el" w:eastAsia="el"/>
        </w:rPr>
      </w:pPr>
      <w:r>
        <w:rPr>
          <w:b/>
          <w:bCs/>
          <w:lang w:val="el" w:eastAsia="el"/>
        </w:rPr>
        <w:t xml:space="preserve">Η υποχρεωτική διατροφική δήλωση περιλαμβάνει την </w:t>
      </w:r>
      <w:r>
        <w:rPr>
          <w:b/>
          <w:bCs/>
          <w:lang w:val="el" w:eastAsia="el"/>
        </w:rPr>
        <w:t xml:space="preserve">ενεργειακή αξία </w:t>
      </w:r>
      <w:r>
        <w:rPr>
          <w:b/>
          <w:bCs/>
          <w:lang w:val="el" w:eastAsia="el"/>
        </w:rPr>
        <w:t xml:space="preserve">και τις ποσότητες των </w:t>
      </w:r>
      <w:r>
        <w:rPr>
          <w:b/>
          <w:bCs/>
          <w:lang w:val="el" w:eastAsia="el"/>
        </w:rPr>
        <w:t xml:space="preserve">λιπαρών, κορεσμένων, υδατανθράκων, σακχάρων, πρωτεϊνών και αλατιού </w:t>
      </w:r>
      <w:r>
        <w:rPr>
          <w:b/>
          <w:bCs/>
          <w:lang w:val="el" w:eastAsia="el"/>
        </w:rPr>
        <w:t>(Άρθρο 30 παράγραφος 1).</w:t>
      </w:r>
    </w:p>
    <w:p>
      <w:pPr>
        <w:spacing w:before="240" w:after="240"/>
        <w:rPr>
          <w:lang w:val="el" w:eastAsia="el"/>
        </w:rPr>
      </w:pPr>
      <w:r>
        <w:rPr>
          <w:b/>
          <w:bCs/>
          <w:lang w:val="el" w:eastAsia="el"/>
        </w:rPr>
        <w:t xml:space="preserve">Το περιεχόμενο της υποχρεωτικής διατροφικής δήλωσης μπορεί να </w:t>
      </w:r>
      <w:r>
        <w:rPr>
          <w:b/>
          <w:bCs/>
          <w:u w:val="single"/>
          <w:lang w:val="el" w:eastAsia="el"/>
        </w:rPr>
        <w:t>συμπληρώνεται</w:t>
      </w:r>
      <w:r>
        <w:rPr>
          <w:b/>
          <w:bCs/>
          <w:lang w:val="el" w:eastAsia="el"/>
        </w:rPr>
        <w:t xml:space="preserve">με αναγραφή των ποσοτήτων ενός ή περισσοτέρων από τα στοιχεία που αναφέρονται στην παράγραφο 2 του άρθρου 30 (μονοακόρεστα, πολυακόρεστα λιπαρά οξέα, πολυόλες, άμυλο, εδώδιμες ίνες, βιταμίνες και ανόργανα συστατικά που απαριθμούνται στο Παράρτημα ΧΙΙΙ). Επισημαίνουμε ότι στα στοιχεία αυτά </w:t>
      </w:r>
      <w:r>
        <w:rPr>
          <w:b/>
          <w:bCs/>
          <w:u w:val="single"/>
          <w:lang w:val="el" w:eastAsia="el"/>
        </w:rPr>
        <w:t>δε</w:t>
      </w:r>
      <w:r>
        <w:rPr>
          <w:b/>
          <w:bCs/>
          <w:lang w:val="el" w:eastAsia="el"/>
        </w:rPr>
        <w:t>συμπεριλαμβάνονται τα trans-λιπαρά.</w:t>
      </w:r>
    </w:p>
    <w:p>
      <w:pPr>
        <w:spacing w:before="240" w:after="240"/>
        <w:rPr>
          <w:lang w:val="el" w:eastAsia="el"/>
        </w:rPr>
      </w:pPr>
      <w:r>
        <w:rPr>
          <w:b/>
          <w:bCs/>
          <w:i/>
          <w:iCs/>
          <w:lang w:val="el" w:eastAsia="el"/>
        </w:rPr>
        <w:t>Έκφραση και παρουσίαση της διατροφικής δήλωσης</w:t>
      </w:r>
    </w:p>
    <w:p>
      <w:pPr>
        <w:spacing w:before="240" w:after="240"/>
        <w:rPr>
          <w:lang w:val="el" w:eastAsia="el"/>
        </w:rPr>
      </w:pPr>
      <w:r>
        <w:rPr>
          <w:b/>
          <w:bCs/>
          <w:lang w:val="el" w:eastAsia="el"/>
        </w:rPr>
        <w:t xml:space="preserve">• Η υποχρεωτική διατροφική δήλωση μαζί με τα στοιχεία της παραγράφου 2 του άρθρου 30 (βλ. προηγούμενη παράγραφο) πρέπει να παρουσιάζονται στο </w:t>
      </w:r>
      <w:r>
        <w:rPr>
          <w:b/>
          <w:bCs/>
          <w:u w:val="single"/>
          <w:lang w:val="el" w:eastAsia="el"/>
        </w:rPr>
        <w:t>ίδιο</w:t>
      </w:r>
      <w:r>
        <w:rPr>
          <w:b/>
          <w:bCs/>
          <w:lang w:val="el" w:eastAsia="el"/>
        </w:rPr>
        <w:t>οπτικό πεδίο (Άρθρο 34 παράγραφος 1).</w:t>
      </w:r>
    </w:p>
    <w:p>
      <w:pPr>
        <w:spacing w:before="240" w:after="240"/>
        <w:rPr>
          <w:lang w:val="el" w:eastAsia="el"/>
        </w:rPr>
      </w:pPr>
      <w:r>
        <w:rPr>
          <w:b/>
          <w:bCs/>
          <w:lang w:val="el" w:eastAsia="el"/>
        </w:rPr>
        <w:t xml:space="preserve">• Η ενεργειακή αξία και η ποσότητα των θρεπτικών ουσιών που περιλαμβάνονται στην διατροφική δήλωση εκφράζονται ανά 100gr ή ανά 100ml και </w:t>
      </w:r>
      <w:r>
        <w:rPr>
          <w:b/>
          <w:bCs/>
          <w:u w:val="single"/>
          <w:lang w:val="el" w:eastAsia="el"/>
        </w:rPr>
        <w:t>συμπληρωματικά</w:t>
      </w:r>
      <w:r>
        <w:rPr>
          <w:b/>
          <w:bCs/>
          <w:lang w:val="el" w:eastAsia="el"/>
        </w:rPr>
        <w:t>ανά μερίδα και/ή μονάδα κατανάλωσης (Άρθρο 33 παράγραφος 1).</w:t>
      </w:r>
    </w:p>
    <w:p>
      <w:pPr>
        <w:spacing w:before="240" w:after="240"/>
        <w:rPr>
          <w:lang w:val="el" w:eastAsia="el"/>
        </w:rPr>
      </w:pPr>
      <w:r>
        <w:rPr>
          <w:b/>
          <w:bCs/>
          <w:lang w:val="el" w:eastAsia="el"/>
        </w:rPr>
        <w:t xml:space="preserve">• Η δήλωση σχετικά με τις βιταμίνες και τα ανόργανα συστατικά εκφράζεται </w:t>
      </w:r>
      <w:r>
        <w:rPr>
          <w:b/>
          <w:bCs/>
          <w:u w:val="single"/>
          <w:lang w:val="el" w:eastAsia="el"/>
        </w:rPr>
        <w:t>και</w:t>
      </w:r>
      <w:r>
        <w:rPr>
          <w:b/>
          <w:bCs/>
          <w:lang w:val="el" w:eastAsia="el"/>
        </w:rPr>
        <w:t>ως ποσοστό των προσλαμβανόμενων ποσοτήτων αναφοράς που καθορίζονται στο σημείο 1 του μέρους Α του παραρτήματος ΧΙΙΙ σε σχέση με τη βάση ανά 100 g ή ανά 100 ml (Άρθρο 32 παράγραφος 3).</w:t>
      </w:r>
    </w:p>
    <w:p>
      <w:pPr>
        <w:spacing w:before="240" w:after="240"/>
        <w:rPr>
          <w:lang w:val="el" w:eastAsia="el"/>
        </w:rPr>
      </w:pPr>
      <w:r>
        <w:rPr>
          <w:b/>
          <w:bCs/>
          <w:lang w:val="el" w:eastAsia="el"/>
        </w:rPr>
        <w:t xml:space="preserve">• Εκτός από τη μορφή έκφρασης ανά 100gr ή ανά 100ml, η ενεργειακή αξία και οι ποσότητες των θρεπτικών ουσιών που περιλαμβάνονται στη διατροφική δήλωση μπορούν να εκφράζονται, ανάλογα με την περίπτωση, και ως </w:t>
      </w:r>
      <w:r>
        <w:rPr>
          <w:b/>
          <w:bCs/>
          <w:u w:val="single"/>
          <w:lang w:val="el" w:eastAsia="el"/>
        </w:rPr>
        <w:t>ποσοστό των προσλαμβανόμενων ποσοτήτων αναφοράς</w:t>
      </w:r>
      <w:r>
        <w:rPr>
          <w:b/>
          <w:bCs/>
          <w:lang w:val="el" w:eastAsia="el"/>
        </w:rPr>
        <w:t>που καθορίζονται στο μέρος Β του παραρτήματος ΧΙΙΙ σε σχέση με τη βάση ανά 100 g ή ανά 100 ml ή/και ανά μερίδα/μονάδα κατανάλωσης. Στην περίπτωση αυτή δίπλα ακριβώς αναγράφεται η ακόλουθη πρόσθετη δήλωση: «Προσλαμβανόμενη ποσότητα αναφοράς ενός μέσου ενήλικα (8400 kJ/2000 kcal)» (Άρθρο 32 παράγραφοι 4 και 5 και άρθρο 33 παράγραφος 1γ).</w:t>
      </w:r>
    </w:p>
    <w:p>
      <w:pPr>
        <w:spacing w:before="240" w:after="240"/>
        <w:rPr>
          <w:lang w:val="el" w:eastAsia="el"/>
        </w:rPr>
      </w:pPr>
      <w:r>
        <w:rPr>
          <w:b/>
          <w:bCs/>
          <w:lang w:val="el" w:eastAsia="el"/>
        </w:rPr>
        <w:t xml:space="preserve">• Σε </w:t>
      </w:r>
      <w:r>
        <w:rPr>
          <w:b/>
          <w:bCs/>
          <w:lang w:val="el" w:eastAsia="el"/>
        </w:rPr>
        <w:t xml:space="preserve">προαιρετική βάση </w:t>
      </w:r>
      <w:r>
        <w:rPr>
          <w:b/>
          <w:bCs/>
          <w:lang w:val="el" w:eastAsia="el"/>
        </w:rPr>
        <w:t xml:space="preserve">δίνεται η δυνατότητα </w:t>
      </w:r>
      <w:r>
        <w:rPr>
          <w:b/>
          <w:bCs/>
          <w:u w:val="single"/>
          <w:lang w:val="el" w:eastAsia="el"/>
        </w:rPr>
        <w:t>επανάληψης</w:t>
      </w:r>
      <w:r>
        <w:rPr>
          <w:b/>
          <w:bCs/>
          <w:lang w:val="el" w:eastAsia="el"/>
        </w:rPr>
        <w:t xml:space="preserve">της πληροφορίας για την ενεργειακή αξία μόνο ή για την ενεργειακή αξία μαζί με τις ποσότητες σε λιπαρά, κορεσμένα, σάκχαρα και ΑΔΑ: 45Ψ1Η-ΝΝΛ αλάτι στο </w:t>
      </w:r>
      <w:r>
        <w:rPr>
          <w:b/>
          <w:bCs/>
          <w:u w:val="single"/>
          <w:lang w:val="el" w:eastAsia="el"/>
        </w:rPr>
        <w:t>κύριο οπτικό πεδίο</w:t>
      </w:r>
      <w:r>
        <w:rPr>
          <w:b/>
          <w:bCs/>
          <w:u w:val="single"/>
          <w:lang w:val="el" w:eastAsia="el"/>
        </w:rPr>
        <w:t>,</w:t>
      </w:r>
      <w:r>
        <w:rPr>
          <w:b/>
          <w:bCs/>
          <w:lang w:val="el" w:eastAsia="el"/>
        </w:rPr>
        <w:t xml:space="preserve"> με σκοπό να μπορούν οι καταναλωτές να βλέπουν εύκολα τις ουσιώδεις διατροφικές πληροφορίες όταν αγοράζουν τρόφιμα. Στην περίπτωση αυτή δίνεται και η δυνατότητα παρουσίασης με διαφορετική μορφή, καθώς και έκφρασης μόνο ανά μερίδα ή μονάδα κατανάλωσης για τα λιπαρά, κορεσμένα, σάκχαρα και αλάτι Η ενεργειακή αξία θα πρέπει </w:t>
      </w:r>
      <w:r>
        <w:rPr>
          <w:b/>
          <w:bCs/>
          <w:u w:val="single"/>
          <w:lang w:val="el" w:eastAsia="el"/>
        </w:rPr>
        <w:t xml:space="preserve">πάντοτε </w:t>
      </w:r>
      <w:r>
        <w:rPr>
          <w:b/>
          <w:bCs/>
          <w:lang w:val="el" w:eastAsia="el"/>
        </w:rPr>
        <w:t>να εκφράζεται ανά 100 g ή ανά 100 ml και συμπληρωματικά ανά μερίδα ή μονάδα κατανάλωσης (Άρθρο 30 παράγραφος 3, Άρθρο 33 παράγραφος 2, Άρθρο 34 παράγραφος 3).</w:t>
      </w:r>
    </w:p>
    <w:p>
      <w:pPr>
        <w:spacing w:before="240" w:after="240"/>
        <w:rPr>
          <w:lang w:val="el" w:eastAsia="el"/>
        </w:rPr>
      </w:pPr>
      <w:r>
        <w:rPr>
          <w:b/>
          <w:bCs/>
          <w:lang w:val="el" w:eastAsia="el"/>
        </w:rPr>
        <w:t xml:space="preserve">• Τέλος, δίνεται η δυνατότητα ανάπτυξης </w:t>
      </w:r>
      <w:r>
        <w:rPr>
          <w:b/>
          <w:bCs/>
          <w:u w:val="single"/>
          <w:lang w:val="el" w:eastAsia="el"/>
        </w:rPr>
        <w:t>διαφορετικών πρόσθετων μορφών έκφρασης και παρουσίασης</w:t>
      </w:r>
      <w:r>
        <w:rPr>
          <w:b/>
          <w:bCs/>
          <w:lang w:val="el" w:eastAsia="el"/>
        </w:rPr>
        <w:t>της διατροφικής δήλωσης, υπό προϋποθέσεις (άρθρου 35, παράγραφος 1).</w:t>
      </w:r>
    </w:p>
    <w:p>
      <w:pPr>
        <w:spacing w:before="240" w:after="240"/>
        <w:rPr>
          <w:lang w:val="el" w:eastAsia="el"/>
        </w:rPr>
      </w:pPr>
      <w:r>
        <w:rPr>
          <w:b/>
          <w:bCs/>
          <w:lang w:val="el" w:eastAsia="el"/>
        </w:rPr>
        <w:t xml:space="preserve">2. Με στόχο τη </w:t>
      </w:r>
      <w:r>
        <w:rPr>
          <w:b/>
          <w:bCs/>
          <w:lang w:val="el" w:eastAsia="el"/>
        </w:rPr>
        <w:t xml:space="preserve">διασφάλιση της αναγνωσιμότητας </w:t>
      </w:r>
      <w:r>
        <w:rPr>
          <w:b/>
          <w:bCs/>
          <w:lang w:val="el" w:eastAsia="el"/>
        </w:rPr>
        <w:t xml:space="preserve">των πληροφοριών που αναγράφονται στη συσκευασία ή στην ετικέτα του τροφίμου, προβλέπεται η υποχρέωση αναγραφής των </w:t>
      </w:r>
      <w:r>
        <w:rPr>
          <w:b/>
          <w:bCs/>
          <w:u w:val="single"/>
          <w:lang w:val="el" w:eastAsia="el"/>
        </w:rPr>
        <w:t>υποχρεωτικών ενδείξεων</w:t>
      </w:r>
      <w:r>
        <w:rPr>
          <w:b/>
          <w:bCs/>
          <w:lang w:val="el" w:eastAsia="el"/>
        </w:rPr>
        <w:t>με χαρακτήρες συγκεκριμένου μεγέθους (Άρθρο 13 παράγραφος 2)</w:t>
      </w:r>
    </w:p>
    <w:p>
      <w:pPr>
        <w:spacing w:before="240" w:after="240"/>
        <w:rPr>
          <w:lang w:val="el" w:eastAsia="el"/>
        </w:rPr>
      </w:pPr>
      <w:r>
        <w:rPr>
          <w:b/>
          <w:bCs/>
          <w:lang w:val="el" w:eastAsia="el"/>
        </w:rPr>
        <w:t xml:space="preserve">3. Για τα τρόφιμα που προσφέρονται </w:t>
      </w:r>
      <w:r>
        <w:rPr>
          <w:b/>
          <w:bCs/>
          <w:lang w:val="el" w:eastAsia="el"/>
        </w:rPr>
        <w:t xml:space="preserve">μη προσυσκευασμένα </w:t>
      </w:r>
      <w:r>
        <w:rPr>
          <w:b/>
          <w:bCs/>
          <w:lang w:val="el" w:eastAsia="el"/>
        </w:rPr>
        <w:t xml:space="preserve">για πώληση στον τελικό καταναλωτή ή σε μονάδες ομαδικής εστίασης ή για τα τρόφιμα που συσκευάζονται στον τόπο πώλησης, εφόσον το ζητήσει ο αγοραστής, ή προσυσκευάζονται για άμεση πώληση, προβλέπεται κατ΄ αρχήν η υποχρέωση παροχής πληροφορίας για τα </w:t>
      </w:r>
      <w:r>
        <w:rPr>
          <w:b/>
          <w:bCs/>
          <w:lang w:val="el" w:eastAsia="el"/>
        </w:rPr>
        <w:t xml:space="preserve">αλλεργιογόνα </w:t>
      </w:r>
      <w:r>
        <w:rPr>
          <w:b/>
          <w:bCs/>
          <w:lang w:val="el" w:eastAsia="el"/>
        </w:rPr>
        <w:t>συστατικά (Άρθρο 44, παράγραφος 1α).</w:t>
      </w:r>
    </w:p>
    <w:p>
      <w:pPr>
        <w:spacing w:before="240" w:after="240"/>
        <w:rPr>
          <w:lang w:val="el" w:eastAsia="el"/>
        </w:rPr>
      </w:pPr>
      <w:r>
        <w:rPr>
          <w:b/>
          <w:bCs/>
          <w:lang w:val="el" w:eastAsia="el"/>
        </w:rPr>
        <w:t xml:space="preserve">Η παροχή άλλων ενδείξεων που προβλέπονται στα άρθρα 9 και 10 του καν. (ΕΕ) 1169/2011 </w:t>
      </w:r>
      <w:r>
        <w:rPr>
          <w:b/>
          <w:bCs/>
          <w:u w:val="single"/>
          <w:lang w:val="el" w:eastAsia="el"/>
        </w:rPr>
        <w:t xml:space="preserve">δεν </w:t>
      </w:r>
      <w:r>
        <w:rPr>
          <w:b/>
          <w:bCs/>
          <w:lang w:val="el" w:eastAsia="el"/>
        </w:rPr>
        <w:t xml:space="preserve">είναι υποχρεωτική, εκτός εάν τα Κ-Μ θεσπίσουν </w:t>
      </w:r>
      <w:r>
        <w:rPr>
          <w:b/>
          <w:bCs/>
          <w:lang w:val="el" w:eastAsia="el"/>
        </w:rPr>
        <w:t xml:space="preserve">εθνικά μέτρα </w:t>
      </w:r>
      <w:r>
        <w:rPr>
          <w:b/>
          <w:bCs/>
          <w:lang w:val="el" w:eastAsia="el"/>
        </w:rPr>
        <w:t xml:space="preserve">που να απαιτούν την παροχή ορισμένων ή όλων αυτών των ενδείξεων. Επιπλέον τα Κ-Μ μπορούν με εθνικές διατάξεις να καθορίζουν και τον </w:t>
      </w:r>
      <w:r>
        <w:rPr>
          <w:b/>
          <w:bCs/>
          <w:lang w:val="el" w:eastAsia="el"/>
        </w:rPr>
        <w:t xml:space="preserve">τρόπο διάθεσης </w:t>
      </w:r>
      <w:r>
        <w:rPr>
          <w:b/>
          <w:bCs/>
          <w:lang w:val="el" w:eastAsia="el"/>
        </w:rPr>
        <w:t>των ενδείξεων αυτών (Άρθρο 44, παράγραφοι 1β και 2) .</w:t>
      </w:r>
    </w:p>
    <w:p>
      <w:pPr>
        <w:spacing w:before="240" w:after="240"/>
        <w:rPr>
          <w:lang w:val="el" w:eastAsia="el"/>
        </w:rPr>
      </w:pPr>
      <w:r>
        <w:rPr>
          <w:b/>
          <w:bCs/>
          <w:lang w:val="el" w:eastAsia="el"/>
        </w:rPr>
        <w:t xml:space="preserve">4. Προβλέπεται η αναγραφή των ουσιών ή προϊόντων που προκαλούν αλλεργίες ή δυσανεξίες </w:t>
      </w:r>
      <w:r>
        <w:rPr>
          <w:b/>
          <w:bCs/>
          <w:u w:val="single"/>
          <w:lang w:val="el" w:eastAsia="el"/>
        </w:rPr>
        <w:t>στον κατάλογο των συστατικών</w:t>
      </w:r>
      <w:r>
        <w:rPr>
          <w:b/>
          <w:bCs/>
          <w:u w:val="single"/>
          <w:lang w:val="el" w:eastAsia="el"/>
        </w:rPr>
        <w:t>,</w:t>
      </w:r>
      <w:r>
        <w:rPr>
          <w:b/>
          <w:bCs/>
          <w:lang w:val="el" w:eastAsia="el"/>
        </w:rPr>
        <w:t xml:space="preserve"> να γίνεται κατά τέτοιο τρόπο, ώστε η ονομασία της ουσίας ή του προϊόντος, όπως περιλαμβάνεται στο παράρτημα II, να </w:t>
      </w:r>
      <w:r>
        <w:rPr>
          <w:b/>
          <w:bCs/>
          <w:lang w:val="el" w:eastAsia="el"/>
        </w:rPr>
        <w:t xml:space="preserve">τονίζεται </w:t>
      </w:r>
      <w:r>
        <w:rPr>
          <w:b/>
          <w:bCs/>
          <w:lang w:val="el" w:eastAsia="el"/>
        </w:rPr>
        <w:t xml:space="preserve">με είδος χαρακτήρων που να κάνει </w:t>
      </w:r>
      <w:r>
        <w:rPr>
          <w:b/>
          <w:bCs/>
          <w:u w:val="single"/>
          <w:lang w:val="el" w:eastAsia="el"/>
        </w:rPr>
        <w:t>σαφή διάκριση της ονομασίας από το υπόλοιπο του καταλόγου των συστατικών,</w:t>
      </w:r>
      <w:r>
        <w:rPr>
          <w:b/>
          <w:bCs/>
          <w:lang w:val="el" w:eastAsia="el"/>
        </w:rPr>
        <w:t xml:space="preserve"> παραδείγματος χάριν μέσω της γραμματοσειράς, της μορφής ή του χρώματος του φόντου (Άρθρο 21 παράγραφος 1α, 1β).</w:t>
      </w:r>
    </w:p>
    <w:p>
      <w:pPr>
        <w:spacing w:before="240" w:after="240"/>
        <w:rPr>
          <w:lang w:val="el" w:eastAsia="el"/>
        </w:rPr>
      </w:pPr>
      <w:r>
        <w:rPr>
          <w:b/>
          <w:bCs/>
          <w:lang w:val="el" w:eastAsia="el"/>
        </w:rPr>
        <w:t xml:space="preserve">5. Η </w:t>
      </w:r>
      <w:r>
        <w:rPr>
          <w:b/>
          <w:bCs/>
          <w:lang w:val="el" w:eastAsia="el"/>
        </w:rPr>
        <w:t xml:space="preserve">βασική υποχρέωση </w:t>
      </w:r>
      <w:r>
        <w:rPr>
          <w:b/>
          <w:bCs/>
          <w:lang w:val="el" w:eastAsia="el"/>
        </w:rPr>
        <w:t xml:space="preserve">για την παροχή πληροφορίας σχετικά με τη </w:t>
      </w:r>
      <w:r>
        <w:rPr>
          <w:b/>
          <w:bCs/>
          <w:lang w:val="el" w:eastAsia="el"/>
        </w:rPr>
        <w:t xml:space="preserve">χώρα καταγωγής ή τον τόπο προέλευσης </w:t>
      </w:r>
      <w:r>
        <w:rPr>
          <w:b/>
          <w:bCs/>
          <w:u w:val="single"/>
          <w:lang w:val="el" w:eastAsia="el"/>
        </w:rPr>
        <w:t xml:space="preserve">παραμένει η </w:t>
      </w:r>
      <w:r>
        <w:rPr>
          <w:b/>
          <w:bCs/>
          <w:u w:val="single"/>
          <w:lang w:val="el" w:eastAsia="el"/>
        </w:rPr>
        <w:t>ίδια</w:t>
      </w:r>
      <w:r>
        <w:rPr>
          <w:b/>
          <w:bCs/>
          <w:u w:val="single"/>
          <w:lang w:val="el" w:eastAsia="el"/>
        </w:rPr>
        <w:t>,</w:t>
      </w:r>
      <w:r>
        <w:rPr>
          <w:b/>
          <w:bCs/>
          <w:lang w:val="el" w:eastAsia="el"/>
        </w:rPr>
        <w:t xml:space="preserve"> δηλ. η χώρα καταγωγή ή ο τόπος προέλευσης ενός τροφίμου αναγράφεται υποχρεωτικά σε κάθε περίπτωση που η απουσία της είναι πιθανόν να παραπλανήσει τους καταναλωτές, όσον αφορά την πραγματική χώρα καταγωγής ή τον πραγματικό τόπο προέλευσης του συγκεκριμένου προϊόντος (Άρθρο 26 παράγραφος 2α). Καθορίζονται όμως </w:t>
      </w:r>
      <w:r>
        <w:rPr>
          <w:b/>
          <w:bCs/>
          <w:u w:val="single"/>
          <w:lang w:val="el" w:eastAsia="el"/>
        </w:rPr>
        <w:t>εναρμονισμένα κριτήρια</w:t>
      </w:r>
      <w:r>
        <w:rPr>
          <w:b/>
          <w:bCs/>
          <w:lang w:val="el" w:eastAsia="el"/>
        </w:rPr>
        <w:t xml:space="preserve">με τα οποία πρέπει να συμμορφώνονται οι αναγραφές αυτές, ώστε να μην παραπλανάται ο καταναλωτής (Άρθρο 26 παράγραφος 3). Η υποχρέωση συμμόρφωσης με τα εναρμονισμένα κριτήρια ισχύει ακόμη και αν η πληροφορία αυτή ΑΔΑ: 45Ψ1Η-ΝΝΛ δίνεται από τους υπευθύνους επιχειρήσεων τροφίμων προαιρετικά. Συγκεκριμένα, σε περίπτωση που αναφέρεται η χώρα καταγωγής ή ο τόπος προέλευσης τροφίμου και δεν είναι ίδια με τη χώρα καταγωγής ή τον τόπο προέλευσης του </w:t>
      </w:r>
      <w:r>
        <w:rPr>
          <w:b/>
          <w:bCs/>
          <w:u w:val="single"/>
          <w:lang w:val="el" w:eastAsia="el"/>
        </w:rPr>
        <w:t>πρωταρχικού συστατικού</w:t>
      </w:r>
      <w:r>
        <w:rPr>
          <w:b/>
          <w:bCs/>
          <w:lang w:val="el" w:eastAsia="el"/>
        </w:rPr>
        <w:t xml:space="preserve">του, τότε θα πρέπει να αναφέρεται επίσης η χώρα καταγωγής ή ο τόπος προέλευσης του εν λόγω πρωταρχικού συστατικού </w:t>
      </w:r>
      <w:r>
        <w:rPr>
          <w:b/>
          <w:bCs/>
          <w:lang w:val="el" w:eastAsia="el"/>
        </w:rPr>
        <w:t xml:space="preserve">ή </w:t>
      </w:r>
      <w:r>
        <w:rPr>
          <w:b/>
          <w:bCs/>
          <w:lang w:val="el" w:eastAsia="el"/>
        </w:rPr>
        <w:t>να αναφέρεται ότι η χώρα καταγωγής ή ο τόπος προέλευσης τού πρωταρχικού συστατικού είναι διαφορετικός από αυτόν του τροφίμου.</w:t>
      </w:r>
    </w:p>
    <w:p>
      <w:pPr>
        <w:spacing w:before="240" w:after="240"/>
        <w:rPr>
          <w:lang w:val="el" w:eastAsia="el"/>
        </w:rPr>
      </w:pPr>
      <w:r>
        <w:rPr>
          <w:b/>
          <w:bCs/>
          <w:lang w:val="el" w:eastAsia="el"/>
        </w:rPr>
        <w:t xml:space="preserve">Επεκτείνεται </w:t>
      </w:r>
      <w:r>
        <w:rPr>
          <w:b/>
          <w:bCs/>
          <w:lang w:val="el" w:eastAsia="el"/>
        </w:rPr>
        <w:t xml:space="preserve">η υποχρεωτική δήλωση της καταγωγής, εκτός από το βόειο κρέας και τα προϊόντα με βάση το βόειο κρέας και στα </w:t>
      </w:r>
      <w:r>
        <w:rPr>
          <w:b/>
          <w:bCs/>
          <w:u w:val="single"/>
          <w:lang w:val="el" w:eastAsia="el"/>
        </w:rPr>
        <w:t xml:space="preserve">είδη κρεάτων των κωδικών συνδυασμένης ονοματολογίας («ΣΟ») </w:t>
      </w:r>
      <w:r>
        <w:rPr>
          <w:b/>
          <w:bCs/>
          <w:lang w:val="el" w:eastAsia="el"/>
        </w:rPr>
        <w:t>που απαριθμούνται στο παράρτημα ΧΙ.</w:t>
      </w:r>
    </w:p>
    <w:p>
      <w:pPr>
        <w:spacing w:before="240" w:after="240"/>
        <w:rPr>
          <w:lang w:val="el" w:eastAsia="el"/>
        </w:rPr>
      </w:pPr>
      <w:r>
        <w:rPr>
          <w:b/>
          <w:bCs/>
          <w:lang w:val="el" w:eastAsia="el"/>
        </w:rPr>
        <w:t>Η εφαρμογή των νέων απαιτήσεων υπόκειται στην έκδοση εκτελεστικών πράξεων από την Επιτροπή έως τις 13 Δεκεμβρίου 2013.</w:t>
      </w:r>
    </w:p>
    <w:p>
      <w:pPr>
        <w:spacing w:before="240" w:after="240"/>
        <w:rPr>
          <w:lang w:val="el" w:eastAsia="el"/>
        </w:rPr>
      </w:pPr>
      <w:r>
        <w:rPr>
          <w:b/>
          <w:bCs/>
          <w:lang w:val="el" w:eastAsia="el"/>
        </w:rPr>
        <w:t xml:space="preserve">Σχετικά με την </w:t>
      </w:r>
      <w:r>
        <w:rPr>
          <w:b/>
          <w:bCs/>
          <w:u w:val="single"/>
          <w:lang w:val="el" w:eastAsia="el"/>
        </w:rPr>
        <w:t>επέκταση</w:t>
      </w:r>
      <w:r>
        <w:rPr>
          <w:b/>
          <w:bCs/>
          <w:lang w:val="el" w:eastAsia="el"/>
        </w:rPr>
        <w:t xml:space="preserve"> της υποχρεωτικής αναγραφής της χώρας καταγωγής ή του τόπου προέλευσης στα τρόφιμα: </w:t>
      </w:r>
      <w:r>
        <w:rPr>
          <w:b/>
          <w:bCs/>
          <w:u w:val="single"/>
          <w:lang w:val="el" w:eastAsia="el"/>
        </w:rPr>
        <w:t>είδη κρεάτων εκτός του βόειου και του χοίρειου κρέατος και του κρέατος προβατοειδών, αιγοειδών και πουλερικών, το γάλα, το γάλα ως συστατικό γαλακτοκομικών προϊόντων, το κρέας ως συστατικό, τα μη μεταποιημένα τρόφιμα, τα τρόφιμα που αποτελούνται από ένα μόνο συστατικό και τα συστατικά που αντιστοιχούν σε περισσότερο από το 50 % τροφίμου,</w:t>
      </w:r>
      <w:r>
        <w:rPr>
          <w:b/>
          <w:bCs/>
          <w:lang w:val="el" w:eastAsia="el"/>
        </w:rPr>
        <w:t xml:space="preserve"> προβλέπεται εκπόνηση σχετικής </w:t>
      </w:r>
      <w:r>
        <w:rPr>
          <w:b/>
          <w:bCs/>
          <w:u w:val="single"/>
          <w:lang w:val="el" w:eastAsia="el"/>
        </w:rPr>
        <w:t>έκθεσης</w:t>
      </w:r>
      <w:r>
        <w:rPr>
          <w:b/>
          <w:bCs/>
          <w:lang w:val="el" w:eastAsia="el"/>
        </w:rPr>
        <w:t xml:space="preserve"> από την Επιτροπή έως τις 13 Δεκεμβρίου 2014 (Άρθρο 26 παράγραφος 5).</w:t>
      </w:r>
    </w:p>
    <w:p>
      <w:pPr>
        <w:spacing w:before="240" w:after="240"/>
        <w:rPr>
          <w:lang w:val="el" w:eastAsia="el"/>
        </w:rPr>
      </w:pPr>
      <w:r>
        <w:rPr>
          <w:b/>
          <w:bCs/>
          <w:lang w:val="el" w:eastAsia="el"/>
        </w:rPr>
        <w:t xml:space="preserve">6. </w:t>
      </w:r>
      <w:r>
        <w:rPr>
          <w:b/>
          <w:bCs/>
          <w:lang w:val="el" w:eastAsia="el"/>
        </w:rPr>
        <w:t xml:space="preserve">Αποσαφηνίζονται οι ευθύνες των υπευθύνων επιχειρήσεων τροφίμων όσον αφορά στην παροχή πληροφοριών για τα τρόφιμα </w:t>
      </w:r>
      <w:r>
        <w:rPr>
          <w:b/>
          <w:bCs/>
          <w:lang w:val="el" w:eastAsia="el"/>
        </w:rPr>
        <w:t>(Άρθρο 8). Η εν λόγω αποσαφήνιση είναι σύμφωνη προς τις ευθύνες έναντι του καταναλωτή οι οποίες αναφέρονται στο άρθρο 17 του κανονισμού (ΕΚ) αριθ. 178/2002.</w:t>
      </w:r>
    </w:p>
    <w:p>
      <w:pPr>
        <w:spacing w:before="240" w:after="240"/>
        <w:rPr>
          <w:lang w:val="el" w:eastAsia="el"/>
        </w:rPr>
      </w:pPr>
      <w:r>
        <w:rPr>
          <w:b/>
          <w:bCs/>
          <w:lang w:val="el" w:eastAsia="el"/>
        </w:rPr>
        <w:t xml:space="preserve">7. Για </w:t>
      </w:r>
      <w:r>
        <w:rPr>
          <w:b/>
          <w:bCs/>
          <w:lang w:val="el" w:eastAsia="el"/>
        </w:rPr>
        <w:t xml:space="preserve">ποτά με περιεκτικότητα σε αιθυλική αλκοόλη άνω του 1,2 % </w:t>
      </w:r>
      <w:r>
        <w:rPr>
          <w:b/>
          <w:bCs/>
          <w:lang w:val="el" w:eastAsia="el"/>
        </w:rPr>
        <w:t xml:space="preserve">κατ’ όγκον </w:t>
      </w:r>
      <w:r>
        <w:rPr>
          <w:b/>
          <w:bCs/>
          <w:u w:val="single"/>
          <w:lang w:val="el" w:eastAsia="el"/>
        </w:rPr>
        <w:t>δεν</w:t>
      </w:r>
      <w:r>
        <w:rPr>
          <w:b/>
          <w:bCs/>
          <w:lang w:val="el" w:eastAsia="el"/>
        </w:rPr>
        <w:t xml:space="preserve">απαιτείται </w:t>
      </w:r>
      <w:r>
        <w:rPr>
          <w:b/>
          <w:bCs/>
          <w:u w:val="single"/>
          <w:lang w:val="el" w:eastAsia="el"/>
        </w:rPr>
        <w:t>κατάλογος των συστατικών</w:t>
      </w:r>
      <w:r>
        <w:rPr>
          <w:b/>
          <w:bCs/>
          <w:lang w:val="el" w:eastAsia="el"/>
        </w:rPr>
        <w:t xml:space="preserve">ή </w:t>
      </w:r>
      <w:r>
        <w:rPr>
          <w:b/>
          <w:bCs/>
          <w:u w:val="single"/>
          <w:lang w:val="el" w:eastAsia="el"/>
        </w:rPr>
        <w:t>υποχρεωτική διατροφική δήλωση</w:t>
      </w:r>
      <w:r>
        <w:rPr>
          <w:b/>
          <w:bCs/>
          <w:u w:val="single"/>
          <w:lang w:val="el" w:eastAsia="el"/>
        </w:rPr>
        <w:t>,</w:t>
      </w:r>
      <w:r>
        <w:rPr>
          <w:b/>
          <w:bCs/>
          <w:lang w:val="el" w:eastAsia="el"/>
        </w:rPr>
        <w:t xml:space="preserve"> με την επιφύλαξη άλλων ενωσιακών διατάξεων που μπορεί να τα επιβάλλουν (Άρθρο 16 παράγραφος 4).</w:t>
      </w:r>
    </w:p>
    <w:p>
      <w:pPr>
        <w:spacing w:before="240" w:after="240"/>
        <w:rPr>
          <w:lang w:val="el" w:eastAsia="el"/>
        </w:rPr>
      </w:pPr>
      <w:r>
        <w:rPr>
          <w:b/>
          <w:bCs/>
          <w:lang w:val="el" w:eastAsia="el"/>
        </w:rPr>
        <w:t xml:space="preserve">Στην περίπτωση </w:t>
      </w:r>
      <w:r>
        <w:rPr>
          <w:b/>
          <w:bCs/>
          <w:u w:val="single"/>
          <w:lang w:val="el" w:eastAsia="el"/>
        </w:rPr>
        <w:t>προαιρετικής</w:t>
      </w:r>
      <w:r>
        <w:rPr>
          <w:b/>
          <w:bCs/>
          <w:lang w:val="el" w:eastAsia="el"/>
        </w:rPr>
        <w:t xml:space="preserve">παροχής διατροφικής δήλωσης στα αλκοολούχα ποτά δίνεται η δυνατότητα να δηλώνεται </w:t>
      </w:r>
      <w:r>
        <w:rPr>
          <w:b/>
          <w:bCs/>
          <w:lang w:val="el" w:eastAsia="el"/>
        </w:rPr>
        <w:t xml:space="preserve">μόνο η ενέργεια </w:t>
      </w:r>
      <w:r>
        <w:rPr>
          <w:b/>
          <w:bCs/>
          <w:lang w:val="el" w:eastAsia="el"/>
        </w:rPr>
        <w:t>(Άρθρο 30 παράγραφος 4).</w:t>
      </w:r>
    </w:p>
    <w:p>
      <w:pPr>
        <w:spacing w:before="240" w:after="240"/>
        <w:rPr>
          <w:lang w:val="el" w:eastAsia="el"/>
        </w:rPr>
      </w:pPr>
      <w:r>
        <w:rPr>
          <w:b/>
          <w:bCs/>
          <w:lang w:val="el" w:eastAsia="el"/>
        </w:rPr>
        <w:t xml:space="preserve">8. </w:t>
      </w:r>
      <w:r>
        <w:rPr>
          <w:b/>
          <w:bCs/>
          <w:lang w:val="el" w:eastAsia="el"/>
        </w:rPr>
        <w:t xml:space="preserve">Ενισχύονται </w:t>
      </w:r>
      <w:r>
        <w:rPr>
          <w:b/>
          <w:bCs/>
          <w:lang w:val="el" w:eastAsia="el"/>
        </w:rPr>
        <w:t xml:space="preserve">οι διατάξεις για την προστασία των καταναλωτών από πληροφορίες στα τρόφιμα που μπορούν να τους οδηγήσουν σε πλάνη, με τη συμπερίληψη και των πληροφοριών που προτείνουν, μέσω της </w:t>
      </w:r>
      <w:r>
        <w:rPr>
          <w:b/>
          <w:bCs/>
          <w:u w:val="single"/>
          <w:lang w:val="el" w:eastAsia="el"/>
        </w:rPr>
        <w:t>εμφάνισης,</w:t>
      </w:r>
      <w:r>
        <w:rPr>
          <w:b/>
          <w:bCs/>
          <w:lang w:val="el" w:eastAsia="el"/>
        </w:rPr>
        <w:t xml:space="preserve"> της </w:t>
      </w:r>
      <w:r>
        <w:rPr>
          <w:b/>
          <w:bCs/>
          <w:u w:val="single"/>
          <w:lang w:val="el" w:eastAsia="el"/>
        </w:rPr>
        <w:t>περιγραφής</w:t>
      </w:r>
      <w:r>
        <w:rPr>
          <w:b/>
          <w:bCs/>
          <w:lang w:val="el" w:eastAsia="el"/>
        </w:rPr>
        <w:t xml:space="preserve"> ή των </w:t>
      </w:r>
      <w:r>
        <w:rPr>
          <w:b/>
          <w:bCs/>
          <w:u w:val="single"/>
          <w:lang w:val="el" w:eastAsia="el"/>
        </w:rPr>
        <w:t>εικονογραφημένων παραστάσεων</w:t>
      </w:r>
      <w:r>
        <w:rPr>
          <w:b/>
          <w:bCs/>
          <w:lang w:val="el" w:eastAsia="el"/>
        </w:rPr>
        <w:t xml:space="preserve">, την </w:t>
      </w:r>
      <w:r>
        <w:rPr>
          <w:b/>
          <w:bCs/>
          <w:u w:val="single"/>
          <w:lang w:val="el" w:eastAsia="el"/>
        </w:rPr>
        <w:t>ύπαρξη συγκεκριμένου τροφίμου ή συστατικού</w:t>
      </w:r>
      <w:r>
        <w:rPr>
          <w:b/>
          <w:bCs/>
          <w:lang w:val="el" w:eastAsia="el"/>
        </w:rPr>
        <w:t xml:space="preserve">, ενώ στην πραγματικότητα ένα φυσικώς ενεχόμενο συστατικό ή ένα συστατικό που χρησιμοποιείται συνήθως στο εν λόγω τρόφιμο έχει </w:t>
      </w:r>
      <w:r>
        <w:rPr>
          <w:b/>
          <w:bCs/>
          <w:u w:val="single"/>
          <w:lang w:val="el" w:eastAsia="el"/>
        </w:rPr>
        <w:t>υποκατασταθεί</w:t>
      </w:r>
      <w:r>
        <w:rPr>
          <w:b/>
          <w:bCs/>
          <w:lang w:val="el" w:eastAsia="el"/>
        </w:rPr>
        <w:t xml:space="preserve"> από διαφορετικό συστατικό (Άρθρο 7, παράγραφος 1δ).</w:t>
      </w:r>
    </w:p>
    <w:p>
      <w:pPr>
        <w:spacing w:before="240" w:after="240"/>
        <w:rPr>
          <w:lang w:val="el" w:eastAsia="el"/>
        </w:rPr>
      </w:pPr>
      <w:r>
        <w:rPr>
          <w:b/>
          <w:bCs/>
          <w:lang w:val="el" w:eastAsia="el"/>
        </w:rPr>
        <w:t xml:space="preserve">9. Στην περίπτωση προσυσκευασμένων τροφίμων που διατίθενται προς </w:t>
      </w:r>
      <w:r>
        <w:rPr>
          <w:b/>
          <w:bCs/>
          <w:lang w:val="el" w:eastAsia="el"/>
        </w:rPr>
        <w:t>πώληση με επικοινωνία εξ αποστάσεως</w:t>
      </w:r>
      <w:r>
        <w:rPr>
          <w:b/>
          <w:bCs/>
          <w:lang w:val="el" w:eastAsia="el"/>
        </w:rPr>
        <w:t xml:space="preserve">, διευκρινίζεται ότι κατά τη στιγμή της παράδοσης θα πρέπει να είναι διαθέσιμες </w:t>
      </w:r>
      <w:r>
        <w:rPr>
          <w:b/>
          <w:bCs/>
          <w:lang w:val="el" w:eastAsia="el"/>
        </w:rPr>
        <w:t xml:space="preserve">όλες </w:t>
      </w:r>
      <w:r>
        <w:rPr>
          <w:b/>
          <w:bCs/>
          <w:lang w:val="el" w:eastAsia="el"/>
        </w:rPr>
        <w:t xml:space="preserve">οι υποχρεωτικές ενδείξεις, ενώ </w:t>
      </w:r>
      <w:r>
        <w:rPr>
          <w:b/>
          <w:bCs/>
          <w:lang w:val="el" w:eastAsia="el"/>
        </w:rPr>
        <w:t xml:space="preserve">πριν </w:t>
      </w:r>
      <w:r>
        <w:rPr>
          <w:b/>
          <w:bCs/>
          <w:lang w:val="el" w:eastAsia="el"/>
        </w:rPr>
        <w:t xml:space="preserve">από την ολοκλήρωση της αγοράς πρέπει να είναι διαθέσιμες </w:t>
      </w:r>
      <w:r>
        <w:rPr>
          <w:b/>
          <w:bCs/>
          <w:lang w:val="el" w:eastAsia="el"/>
        </w:rPr>
        <w:t xml:space="preserve">όλες </w:t>
      </w:r>
      <w:r>
        <w:rPr>
          <w:b/>
          <w:bCs/>
          <w:lang w:val="el" w:eastAsia="el"/>
        </w:rPr>
        <w:t xml:space="preserve">οι υποχρεωτικές πληροφορίες για τα τρόφιμα, </w:t>
      </w:r>
      <w:r>
        <w:rPr>
          <w:b/>
          <w:bCs/>
          <w:lang w:val="el" w:eastAsia="el"/>
        </w:rPr>
        <w:t xml:space="preserve">εκτός </w:t>
      </w:r>
      <w:r>
        <w:rPr>
          <w:b/>
          <w:bCs/>
          <w:lang w:val="el" w:eastAsia="el"/>
        </w:rPr>
        <w:t>της ημερομηνίας ελάχιστης διατηρησιμότητας και τελικής ημερομηνίας ανάλωσης (Άρθρο 14, παράγραφος 1)</w:t>
      </w:r>
    </w:p>
    <w:p>
      <w:pPr>
        <w:spacing w:before="240" w:after="240"/>
        <w:rPr>
          <w:lang w:val="el" w:eastAsia="el"/>
        </w:rPr>
      </w:pPr>
      <w:r>
        <w:rPr>
          <w:b/>
          <w:bCs/>
          <w:lang w:val="el" w:eastAsia="el"/>
        </w:rPr>
        <w:t xml:space="preserve">10. Προβλέπεται η </w:t>
      </w:r>
      <w:r>
        <w:rPr>
          <w:b/>
          <w:bCs/>
          <w:lang w:val="el" w:eastAsia="el"/>
        </w:rPr>
        <w:t xml:space="preserve">σαφής αναγραφή </w:t>
      </w:r>
      <w:r>
        <w:rPr>
          <w:b/>
          <w:bCs/>
          <w:lang w:val="el" w:eastAsia="el"/>
        </w:rPr>
        <w:t xml:space="preserve">των συστατικών τροφίμων που παράγονται από </w:t>
      </w:r>
      <w:r>
        <w:rPr>
          <w:b/>
          <w:bCs/>
          <w:lang w:val="el" w:eastAsia="el"/>
        </w:rPr>
        <w:t xml:space="preserve">τεχνολογικά επεξεργασμένα νανοϋλικά </w:t>
      </w:r>
      <w:r>
        <w:rPr>
          <w:b/>
          <w:bCs/>
          <w:lang w:val="el" w:eastAsia="el"/>
        </w:rPr>
        <w:t xml:space="preserve">στον κατάλογο των συστατικών, με τα ονόματα αυτών των συστατικών να ακολουθούνται από τη λέξη </w:t>
      </w:r>
      <w:r>
        <w:rPr>
          <w:b/>
          <w:bCs/>
          <w:lang w:val="el" w:eastAsia="el"/>
        </w:rPr>
        <w:t xml:space="preserve">«νανο» </w:t>
      </w:r>
      <w:r>
        <w:rPr>
          <w:b/>
          <w:bCs/>
          <w:lang w:val="el" w:eastAsia="el"/>
        </w:rPr>
        <w:t xml:space="preserve">σε παρένθεση (Άρθρο 18, παράγραφος 3). Επισημαίνεται ότι η χρήση των εν λόγω συστατικών υπόκεινται σε διαδικασία έγκρισης σύμφωνα με τον καν. (ΕΚ) 258/97 </w:t>
      </w:r>
      <w:r>
        <w:rPr>
          <w:b/>
          <w:bCs/>
          <w:i/>
          <w:iCs/>
          <w:lang w:val="el" w:eastAsia="el"/>
        </w:rPr>
        <w:t>σχετικά με τα νέα τρόφιμα και τα νέα συστατικά τροφίμων</w:t>
      </w:r>
      <w:r>
        <w:rPr>
          <w:b/>
          <w:bCs/>
          <w:lang w:val="el" w:eastAsia="el"/>
        </w:rPr>
        <w:t xml:space="preserve"> ή τον καν. (ΕΚ) αριθ. 1331/2008 </w:t>
      </w:r>
      <w:r>
        <w:rPr>
          <w:b/>
          <w:bCs/>
          <w:i/>
          <w:iCs/>
          <w:lang w:val="el" w:eastAsia="el"/>
        </w:rPr>
        <w:t>για τη θέσπιση ενιαίας διαδικασίας έγκρισης για τα πρόσθετα τροφίμων, τα ένζυμα τροφίμων και τις αρωματικές ύλες τροφίμων,</w:t>
      </w:r>
      <w:r>
        <w:rPr>
          <w:b/>
          <w:bCs/>
          <w:lang w:val="el" w:eastAsia="el"/>
        </w:rPr>
        <w:t xml:space="preserve"> κατά περίπτωση.</w:t>
      </w:r>
    </w:p>
    <w:p>
      <w:pPr>
        <w:spacing w:before="240" w:after="240"/>
        <w:rPr>
          <w:lang w:val="el" w:eastAsia="el"/>
        </w:rPr>
      </w:pPr>
      <w:r>
        <w:rPr>
          <w:b/>
          <w:bCs/>
          <w:lang w:val="el" w:eastAsia="el"/>
        </w:rPr>
        <w:t xml:space="preserve">11. Καθορίζονται συγκεκριμένες </w:t>
      </w:r>
      <w:r>
        <w:rPr>
          <w:b/>
          <w:bCs/>
          <w:lang w:val="el" w:eastAsia="el"/>
        </w:rPr>
        <w:t xml:space="preserve">προϋποθέσεις </w:t>
      </w:r>
      <w:r>
        <w:rPr>
          <w:b/>
          <w:bCs/>
          <w:lang w:val="el" w:eastAsia="el"/>
        </w:rPr>
        <w:t xml:space="preserve">τις οποίες πρέπει να πληρούν οι </w:t>
      </w:r>
      <w:r>
        <w:rPr>
          <w:b/>
          <w:bCs/>
          <w:lang w:val="el" w:eastAsia="el"/>
        </w:rPr>
        <w:t xml:space="preserve">πληροφορίες </w:t>
      </w:r>
      <w:r>
        <w:rPr>
          <w:b/>
          <w:bCs/>
          <w:lang w:val="el" w:eastAsia="el"/>
        </w:rPr>
        <w:t xml:space="preserve">για τα τρόφιμα που παρέχονται σε </w:t>
      </w:r>
      <w:r>
        <w:rPr>
          <w:b/>
          <w:bCs/>
          <w:lang w:val="el" w:eastAsia="el"/>
        </w:rPr>
        <w:t>προαιρετική βάση</w:t>
      </w:r>
      <w:r>
        <w:rPr>
          <w:b/>
          <w:bCs/>
          <w:lang w:val="el" w:eastAsia="el"/>
        </w:rPr>
        <w:t>, καθώς διαπιστώθηκε ότι σε πολλές περιπτώσεις, οι προαιρετικές πληροφορίες για τα τρόφιμα παρέχονται εις βάρος της σαφήνειας των υποχρεωτικών πληροφοριών για τα τρόφιμα, (Άρθρο 36, παράγραφος 2).</w:t>
      </w:r>
    </w:p>
    <w:p>
      <w:pPr>
        <w:spacing w:before="240" w:after="240"/>
        <w:rPr>
          <w:lang w:val="el" w:eastAsia="el"/>
        </w:rPr>
      </w:pPr>
      <w:r>
        <w:rPr>
          <w:b/>
          <w:bCs/>
          <w:lang w:val="el" w:eastAsia="el"/>
        </w:rPr>
        <w:t xml:space="preserve">Επίσης προκειμένου να υπάρχει ισορροπία μεταξύ της παροχής υποχρεωτικών και προαιρετικών πληροφοριών για τα τρόφιμα επισημαίνεται ότι η αναγραφή προαιρετικών πληροφοριών για τα τρόφιμα </w:t>
      </w:r>
      <w:r>
        <w:rPr>
          <w:b/>
          <w:bCs/>
          <w:lang w:val="el" w:eastAsia="el"/>
        </w:rPr>
        <w:t xml:space="preserve">δεν </w:t>
      </w:r>
      <w:r>
        <w:rPr>
          <w:b/>
          <w:bCs/>
          <w:lang w:val="el" w:eastAsia="el"/>
        </w:rPr>
        <w:t>πρέπει να γίνεται εις βάρος του χώρου που διατίθεται για τις υποχρεωτικές πληροφορίες για τα τρόφιμα (Άρθρο 37).</w:t>
      </w:r>
    </w:p>
    <w:p>
      <w:pPr>
        <w:spacing w:before="240" w:after="240"/>
        <w:rPr>
          <w:lang w:val="el" w:eastAsia="el"/>
        </w:rPr>
      </w:pPr>
      <w:r>
        <w:rPr>
          <w:b/>
          <w:bCs/>
          <w:lang w:val="el" w:eastAsia="el"/>
        </w:rPr>
        <w:t xml:space="preserve">12. </w:t>
      </w:r>
      <w:r>
        <w:rPr>
          <w:b/>
          <w:bCs/>
          <w:lang w:val="el" w:eastAsia="el"/>
        </w:rPr>
        <w:t xml:space="preserve">Εξευγενισμένα έλαια και λίπη </w:t>
      </w:r>
      <w:r>
        <w:rPr>
          <w:b/>
          <w:bCs/>
          <w:u w:val="single"/>
          <w:lang w:val="el" w:eastAsia="el"/>
        </w:rPr>
        <w:t>φυτικής</w:t>
      </w:r>
      <w:r>
        <w:rPr>
          <w:b/>
          <w:bCs/>
          <w:lang w:val="el" w:eastAsia="el"/>
        </w:rPr>
        <w:t xml:space="preserve"> προέλευσης </w:t>
      </w:r>
      <w:r>
        <w:rPr>
          <w:b/>
          <w:bCs/>
          <w:lang w:val="el" w:eastAsia="el"/>
        </w:rPr>
        <w:t xml:space="preserve">που αποτελούν συστατικά τροφίμων μπορούν να ομαδοποιούνται στον κατάλογο συστατικών, υπό τον χαρακτηρισμό «φυτικά έλαια» ή «φυτικά λίπη», ανάλογα με την περίπτωση, </w:t>
      </w:r>
      <w:r>
        <w:rPr>
          <w:b/>
          <w:bCs/>
          <w:u w:val="single"/>
          <w:lang w:val="el" w:eastAsia="el"/>
        </w:rPr>
        <w:t>ακολουθούμενο</w:t>
      </w:r>
      <w:r>
        <w:rPr>
          <w:b/>
          <w:bCs/>
          <w:lang w:val="el" w:eastAsia="el"/>
        </w:rPr>
        <w:t xml:space="preserve"> αμέσως μετά από </w:t>
      </w:r>
      <w:r>
        <w:rPr>
          <w:b/>
          <w:bCs/>
          <w:u w:val="single"/>
          <w:lang w:val="el" w:eastAsia="el"/>
        </w:rPr>
        <w:t>απαρίθμηση ενδείξεων της ειδικής φυτικής προέλευσης,</w:t>
      </w:r>
      <w:r>
        <w:rPr>
          <w:b/>
          <w:bCs/>
          <w:lang w:val="el" w:eastAsia="el"/>
        </w:rPr>
        <w:t xml:space="preserve"> και μπορούν να ακολουθούνται από τη φράση «σε μεταβαλλόμενες αναλογίες». Η έκφραση «πλήρως υδρογονωμένο» ή «μερικώς υδρογονωμένο», κατά περίπτωση, πρέπει να συνοδεύει την ένδειξη υδρογονωμένου ελαίου/λίπους (Παράρτημα VII - Μέρος Α΄, σημεία 8 και 9).</w:t>
      </w:r>
    </w:p>
    <w:p>
      <w:pPr>
        <w:spacing w:before="240" w:after="240"/>
        <w:rPr>
          <w:lang w:val="el" w:eastAsia="el"/>
        </w:rPr>
      </w:pPr>
      <w:r>
        <w:rPr>
          <w:b/>
          <w:bCs/>
          <w:lang w:val="el" w:eastAsia="el"/>
        </w:rPr>
        <w:t xml:space="preserve">13. Στο Παράρτημα </w:t>
      </w:r>
      <w:r>
        <w:rPr>
          <w:b/>
          <w:bCs/>
          <w:lang w:val="el" w:eastAsia="el"/>
        </w:rPr>
        <w:t>ΙΙΙ</w:t>
      </w:r>
      <w:r>
        <w:rPr>
          <w:b/>
          <w:bCs/>
          <w:lang w:val="el" w:eastAsia="el"/>
        </w:rPr>
        <w:t xml:space="preserve">, περιλαμβάνονται </w:t>
      </w:r>
      <w:r>
        <w:rPr>
          <w:b/>
          <w:bCs/>
          <w:u w:val="single"/>
          <w:lang w:val="el" w:eastAsia="el"/>
        </w:rPr>
        <w:t>νέες</w:t>
      </w:r>
      <w:r>
        <w:rPr>
          <w:b/>
          <w:bCs/>
          <w:lang w:val="el" w:eastAsia="el"/>
        </w:rPr>
        <w:t xml:space="preserve">κατηγορίες τροφίμων για τα οποία </w:t>
      </w:r>
      <w:r>
        <w:rPr>
          <w:b/>
          <w:bCs/>
          <w:lang w:val="el" w:eastAsia="el"/>
        </w:rPr>
        <w:t xml:space="preserve">η επισήμανση πρέπει να περιέχει μία ή περισσότερες πρόσθετες ενδείξεις </w:t>
      </w:r>
      <w:r>
        <w:rPr>
          <w:b/>
          <w:bCs/>
          <w:lang w:val="el" w:eastAsia="el"/>
        </w:rPr>
        <w:t xml:space="preserve">(σημεία </w:t>
      </w:r>
      <w:r>
        <w:rPr>
          <w:b/>
          <w:bCs/>
          <w:lang w:val="el" w:eastAsia="el"/>
        </w:rPr>
        <w:t xml:space="preserve">4 </w:t>
      </w:r>
      <w:r>
        <w:rPr>
          <w:b/>
          <w:bCs/>
          <w:lang w:val="el" w:eastAsia="el"/>
        </w:rPr>
        <w:t xml:space="preserve">και </w:t>
      </w:r>
      <w:r>
        <w:rPr>
          <w:b/>
          <w:bCs/>
          <w:lang w:val="el" w:eastAsia="el"/>
        </w:rPr>
        <w:t>6</w:t>
      </w:r>
      <w:r>
        <w:rPr>
          <w:b/>
          <w:bCs/>
          <w:lang w:val="el" w:eastAsia="el"/>
        </w:rPr>
        <w:t>).</w:t>
      </w:r>
    </w:p>
    <w:p>
      <w:pPr>
        <w:spacing w:before="240" w:after="240"/>
        <w:rPr>
          <w:lang w:val="el" w:eastAsia="el"/>
        </w:rPr>
      </w:pPr>
      <w:r>
        <w:rPr>
          <w:b/>
          <w:bCs/>
          <w:lang w:val="el" w:eastAsia="el"/>
        </w:rPr>
        <w:t xml:space="preserve">14. Στο Παράρτημα </w:t>
      </w:r>
      <w:r>
        <w:rPr>
          <w:b/>
          <w:bCs/>
          <w:lang w:val="el" w:eastAsia="el"/>
        </w:rPr>
        <w:t>VI</w:t>
      </w:r>
      <w:r>
        <w:rPr>
          <w:b/>
          <w:bCs/>
          <w:lang w:val="el" w:eastAsia="el"/>
        </w:rPr>
        <w:t xml:space="preserve">, Μέρος Α </w:t>
      </w:r>
      <w:r>
        <w:rPr>
          <w:b/>
          <w:bCs/>
          <w:i/>
          <w:iCs/>
          <w:lang w:val="el" w:eastAsia="el"/>
        </w:rPr>
        <w:t>Υποχρεωτικές ενδείξεις που συνοδεύουν την ονομασία του τροφίμου,</w:t>
      </w:r>
      <w:r>
        <w:rPr>
          <w:b/>
          <w:bCs/>
          <w:lang w:val="el" w:eastAsia="el"/>
        </w:rPr>
        <w:t xml:space="preserve"> περιλαμβάνονται </w:t>
      </w:r>
      <w:r>
        <w:rPr>
          <w:b/>
          <w:bCs/>
          <w:u w:val="single"/>
          <w:lang w:val="el" w:eastAsia="el"/>
        </w:rPr>
        <w:t>νέες</w:t>
      </w:r>
      <w:r>
        <w:rPr>
          <w:b/>
          <w:bCs/>
          <w:lang w:val="el" w:eastAsia="el"/>
        </w:rPr>
        <w:t xml:space="preserve">περιπτώσεις τροφίμων των οποίων </w:t>
      </w:r>
      <w:r>
        <w:rPr>
          <w:b/>
          <w:bCs/>
          <w:lang w:val="el" w:eastAsia="el"/>
        </w:rPr>
        <w:t xml:space="preserve">η ονομασία πρέπει να συνοδεύεται από συγκεκριμένη υποχρεωτική ένδειξη </w:t>
      </w:r>
      <w:r>
        <w:rPr>
          <w:b/>
          <w:bCs/>
          <w:lang w:val="el" w:eastAsia="el"/>
        </w:rPr>
        <w:t xml:space="preserve">(σημεία </w:t>
      </w:r>
      <w:r>
        <w:rPr>
          <w:b/>
          <w:bCs/>
          <w:lang w:val="el" w:eastAsia="el"/>
        </w:rPr>
        <w:t>2</w:t>
      </w:r>
      <w:r>
        <w:rPr>
          <w:b/>
          <w:bCs/>
          <w:lang w:val="el" w:eastAsia="el"/>
        </w:rPr>
        <w:t xml:space="preserve">, </w:t>
      </w:r>
      <w:r>
        <w:rPr>
          <w:b/>
          <w:bCs/>
          <w:lang w:val="el" w:eastAsia="el"/>
        </w:rPr>
        <w:t>4</w:t>
      </w:r>
      <w:r>
        <w:rPr>
          <w:b/>
          <w:bCs/>
          <w:lang w:val="el" w:eastAsia="el"/>
        </w:rPr>
        <w:t xml:space="preserve">, </w:t>
      </w:r>
      <w:r>
        <w:rPr>
          <w:b/>
          <w:bCs/>
          <w:lang w:val="el" w:eastAsia="el"/>
        </w:rPr>
        <w:t>5</w:t>
      </w:r>
      <w:r>
        <w:rPr>
          <w:b/>
          <w:bCs/>
          <w:lang w:val="el" w:eastAsia="el"/>
        </w:rPr>
        <w:t xml:space="preserve">, </w:t>
      </w:r>
      <w:r>
        <w:rPr>
          <w:b/>
          <w:bCs/>
          <w:lang w:val="el" w:eastAsia="el"/>
        </w:rPr>
        <w:t xml:space="preserve">6 </w:t>
      </w:r>
      <w:r>
        <w:rPr>
          <w:b/>
          <w:bCs/>
          <w:lang w:val="el" w:eastAsia="el"/>
        </w:rPr>
        <w:t xml:space="preserve">και </w:t>
      </w:r>
      <w:r>
        <w:rPr>
          <w:b/>
          <w:bCs/>
          <w:lang w:val="el" w:eastAsia="el"/>
        </w:rPr>
        <w:t>7</w:t>
      </w:r>
      <w:r>
        <w:rPr>
          <w:b/>
          <w:bCs/>
          <w:lang w:val="el" w:eastAsia="el"/>
        </w:rPr>
        <w:t>).</w:t>
      </w:r>
    </w:p>
    <w:p>
      <w:pPr>
        <w:spacing w:before="240" w:after="240"/>
        <w:rPr>
          <w:lang w:val="el" w:eastAsia="el"/>
        </w:rPr>
      </w:pPr>
      <w:r>
        <w:rPr>
          <w:b/>
          <w:bCs/>
          <w:lang w:val="el" w:eastAsia="el"/>
        </w:rPr>
        <w:t xml:space="preserve">ΑΔΑ: 45Ψ1Η-ΝΝΛ Οι κανονισμοί (ΕΚ) </w:t>
      </w:r>
      <w:r>
        <w:rPr>
          <w:b/>
          <w:bCs/>
          <w:lang w:val="el" w:eastAsia="el"/>
        </w:rPr>
        <w:t xml:space="preserve">1924/2006 </w:t>
      </w:r>
      <w:r>
        <w:rPr>
          <w:b/>
          <w:bCs/>
          <w:i/>
          <w:iCs/>
          <w:lang w:val="el" w:eastAsia="el"/>
        </w:rPr>
        <w:t>σχετικά με τους ισχυρισμούς επί θεμάτων διατροφής και υγείας που διατυπώνονται για τα τρόφιμα</w:t>
      </w:r>
      <w:r>
        <w:rPr>
          <w:b/>
          <w:bCs/>
          <w:lang w:val="el" w:eastAsia="el"/>
        </w:rPr>
        <w:t xml:space="preserve"> και </w:t>
      </w:r>
      <w:r>
        <w:rPr>
          <w:b/>
          <w:bCs/>
          <w:lang w:val="el" w:eastAsia="el"/>
        </w:rPr>
        <w:t xml:space="preserve">1925/2006 </w:t>
      </w:r>
      <w:r>
        <w:rPr>
          <w:b/>
          <w:bCs/>
          <w:i/>
          <w:iCs/>
          <w:lang w:val="el" w:eastAsia="el"/>
        </w:rPr>
        <w:t>σχετικά με την προσθήκη βιταμινών και ανόργανων συστατικών και ορισμένων άλλων ουσιών στα τρόφιμα</w:t>
      </w:r>
      <w:r>
        <w:rPr>
          <w:b/>
          <w:bCs/>
          <w:lang w:val="el" w:eastAsia="el"/>
        </w:rPr>
        <w:t xml:space="preserve"> τροποποιούνται </w:t>
      </w:r>
      <w:r>
        <w:rPr>
          <w:b/>
          <w:bCs/>
          <w:lang w:val="el" w:eastAsia="el"/>
        </w:rPr>
        <w:t xml:space="preserve">αναλόγως ώστε να </w:t>
      </w:r>
      <w:r>
        <w:rPr>
          <w:b/>
          <w:bCs/>
          <w:u w:val="single"/>
          <w:lang w:val="el" w:eastAsia="el"/>
        </w:rPr>
        <w:t>επικαιροποιηθούν</w:t>
      </w:r>
      <w:r>
        <w:rPr>
          <w:b/>
          <w:bCs/>
          <w:lang w:val="el" w:eastAsia="el"/>
        </w:rPr>
        <w:t xml:space="preserve"> ως προς τον καν. (ΕΕ) 1169/2011 (Άρθρα 49 και 50 αντίστοιχα)</w:t>
      </w:r>
    </w:p>
    <w:p>
      <w:pPr>
        <w:spacing w:before="240" w:after="240"/>
        <w:rPr>
          <w:lang w:val="el" w:eastAsia="el"/>
        </w:rPr>
      </w:pPr>
      <w:r>
        <w:rPr>
          <w:b/>
          <w:bCs/>
          <w:lang w:val="el" w:eastAsia="el"/>
        </w:rPr>
        <w:t xml:space="preserve">Οι οδηγίες 87/250/ΕΟΚ, 90/496/ΕΟΚ, 1999/10/ΕΚ, 2000/13/ΕΚ, 2002/67/ΕΚ και 2008/5/ΕΚ και ο κανονισμός (ΕΚ) αριθ. 608/2004 </w:t>
      </w:r>
      <w:r>
        <w:rPr>
          <w:b/>
          <w:bCs/>
          <w:lang w:val="el" w:eastAsia="el"/>
        </w:rPr>
        <w:t xml:space="preserve">καταργούνται </w:t>
      </w:r>
      <w:r>
        <w:rPr>
          <w:b/>
          <w:bCs/>
          <w:lang w:val="el" w:eastAsia="el"/>
        </w:rPr>
        <w:t xml:space="preserve">από τη </w:t>
      </w:r>
      <w:r>
        <w:rPr>
          <w:b/>
          <w:bCs/>
          <w:lang w:val="el" w:eastAsia="el"/>
        </w:rPr>
        <w:t>13η Δεκεμβρίου 2014</w:t>
      </w:r>
      <w:r>
        <w:rPr>
          <w:b/>
          <w:bCs/>
          <w:lang w:val="el" w:eastAsia="el"/>
        </w:rPr>
        <w:t>.</w:t>
      </w:r>
    </w:p>
    <w:p>
      <w:pPr>
        <w:spacing w:before="240" w:after="240"/>
        <w:rPr>
          <w:lang w:val="el" w:eastAsia="el"/>
        </w:rPr>
      </w:pPr>
      <w:r>
        <w:rPr>
          <w:b/>
          <w:bCs/>
          <w:i/>
          <w:iCs/>
          <w:lang w:val="el" w:eastAsia="el"/>
        </w:rPr>
        <w:t>Μεταβατικά μέτρα</w:t>
      </w:r>
    </w:p>
    <w:p>
      <w:pPr>
        <w:spacing w:before="240" w:after="240"/>
        <w:rPr>
          <w:lang w:val="el" w:eastAsia="el"/>
        </w:rPr>
      </w:pPr>
      <w:r>
        <w:rPr>
          <w:b/>
          <w:bCs/>
          <w:lang w:val="el" w:eastAsia="el"/>
        </w:rPr>
        <w:t>Προβλέπονται κατάλληλες μεταβατικές περίοδοι για την εφαρμογή του κανονισμού ώστε να μπορούν οι υπεύθυνοι επιχειρήσεων τροφίμων να προσαρμόσουν την επισήμανση των προϊόντων τους στις νέες απαιτήσεις που θεσπίζονται από τον κανονισμό (Άρθρο 54 παράγραφος 1).</w:t>
      </w:r>
    </w:p>
    <w:p>
      <w:pPr>
        <w:spacing w:before="240" w:after="240"/>
        <w:rPr>
          <w:lang w:val="el" w:eastAsia="el"/>
        </w:rPr>
      </w:pPr>
      <w:r>
        <w:rPr>
          <w:b/>
          <w:bCs/>
          <w:lang w:val="el" w:eastAsia="el"/>
        </w:rPr>
        <w:t xml:space="preserve">Δεδομένων των ουσιωδών τροποποιήσεων που επιφέρει ο κανονισμός στις απαιτήσεις σχετικά με τη </w:t>
      </w:r>
      <w:r>
        <w:rPr>
          <w:b/>
          <w:bCs/>
          <w:lang w:val="el" w:eastAsia="el"/>
        </w:rPr>
        <w:t>διατροφική επισήμανση</w:t>
      </w:r>
      <w:r>
        <w:rPr>
          <w:b/>
          <w:bCs/>
          <w:lang w:val="el" w:eastAsia="el"/>
        </w:rPr>
        <w:t xml:space="preserve">, ιδίως όσον αφορά το περιεχόμενο της διατροφικής δήλωσης, επιτρέπεται στους υπευθύνους επιχείρησης τροφίμων να </w:t>
      </w:r>
      <w:r>
        <w:rPr>
          <w:b/>
          <w:bCs/>
          <w:lang w:val="el" w:eastAsia="el"/>
        </w:rPr>
        <w:t xml:space="preserve">εφαρμόσουν νωρίτερα </w:t>
      </w:r>
      <w:r>
        <w:rPr>
          <w:b/>
          <w:bCs/>
          <w:lang w:val="el" w:eastAsia="el"/>
        </w:rPr>
        <w:t>τον κανονισμό. Η ίδια δυνατότητα εφαρμογής δίνεται και για τα τρόφιμα που επισημαίνονται σύμφωνα με το μέρος Β του παραρτήματος VI του κανονισμού (ειδικές απαιτήσεις σχετικά με το χαρακτηρισμό «κιμάς») (Άρθρο 54 παράγραφος 3).</w:t>
      </w:r>
    </w:p>
    <w:p>
      <w:pPr>
        <w:spacing w:before="240" w:after="240"/>
        <w:rPr>
          <w:lang w:val="el" w:eastAsia="el"/>
        </w:rPr>
      </w:pPr>
      <w:r>
        <w:rPr>
          <w:b/>
          <w:bCs/>
          <w:i/>
          <w:iCs/>
          <w:lang w:val="el" w:eastAsia="el"/>
        </w:rPr>
        <w:t xml:space="preserve">Έναρξη ισχύος </w:t>
      </w:r>
      <w:r>
        <w:rPr>
          <w:b/>
          <w:bCs/>
          <w:i/>
          <w:iCs/>
          <w:lang w:val="el" w:eastAsia="el"/>
        </w:rPr>
        <w:t xml:space="preserve">- </w:t>
      </w:r>
      <w:r>
        <w:rPr>
          <w:b/>
          <w:bCs/>
          <w:i/>
          <w:iCs/>
          <w:lang w:val="el" w:eastAsia="el"/>
        </w:rPr>
        <w:t>εφαρμογή</w:t>
      </w:r>
    </w:p>
    <w:p>
      <w:pPr>
        <w:spacing w:before="240" w:after="240"/>
        <w:rPr>
          <w:lang w:val="el" w:eastAsia="el"/>
        </w:rPr>
      </w:pPr>
      <w:r>
        <w:rPr>
          <w:b/>
          <w:bCs/>
          <w:lang w:val="el" w:eastAsia="el"/>
        </w:rPr>
        <w:t xml:space="preserve">Ο καν. (ΕΕ) 1169/2011 </w:t>
      </w:r>
      <w:r>
        <w:rPr>
          <w:b/>
          <w:bCs/>
          <w:lang w:val="el" w:eastAsia="el"/>
        </w:rPr>
        <w:t xml:space="preserve">ισχύει </w:t>
      </w:r>
      <w:r>
        <w:rPr>
          <w:b/>
          <w:bCs/>
          <w:lang w:val="el" w:eastAsia="el"/>
        </w:rPr>
        <w:t xml:space="preserve">από τις 13 Δεκεμβρίου 2011 και </w:t>
      </w:r>
      <w:r>
        <w:rPr>
          <w:b/>
          <w:bCs/>
          <w:lang w:val="el" w:eastAsia="el"/>
        </w:rPr>
        <w:t xml:space="preserve">εφαρμόζεται </w:t>
      </w:r>
      <w:r>
        <w:rPr>
          <w:b/>
          <w:bCs/>
          <w:lang w:val="el" w:eastAsia="el"/>
        </w:rPr>
        <w:t xml:space="preserve">από την </w:t>
      </w:r>
      <w:r>
        <w:rPr>
          <w:b/>
          <w:bCs/>
          <w:lang w:val="el" w:eastAsia="el"/>
        </w:rPr>
        <w:t>13</w:t>
      </w:r>
      <w:r>
        <w:rPr>
          <w:b/>
          <w:bCs/>
          <w:sz w:val="30"/>
          <w:szCs w:val="30"/>
          <w:vertAlign w:val="superscript"/>
          <w:lang w:val="el" w:eastAsia="el"/>
        </w:rPr>
        <w:t xml:space="preserve">η </w:t>
      </w:r>
      <w:r>
        <w:rPr>
          <w:b/>
          <w:bCs/>
          <w:lang w:val="el" w:eastAsia="el"/>
        </w:rPr>
        <w:t xml:space="preserve">Δεκεμβρίου 2014, </w:t>
      </w:r>
      <w:r>
        <w:rPr>
          <w:b/>
          <w:bCs/>
          <w:u w:val="single"/>
          <w:lang w:val="el" w:eastAsia="el"/>
        </w:rPr>
        <w:t>εξαιρουμένου</w:t>
      </w:r>
      <w:r>
        <w:rPr>
          <w:b/>
          <w:bCs/>
          <w:lang w:val="el" w:eastAsia="el"/>
        </w:rPr>
        <w:t>:</w:t>
      </w:r>
    </w:p>
    <w:p>
      <w:pPr>
        <w:spacing w:before="240" w:after="240"/>
        <w:rPr>
          <w:lang w:val="el" w:eastAsia="el"/>
        </w:rPr>
      </w:pPr>
      <w:r>
        <w:rPr>
          <w:b/>
          <w:bCs/>
          <w:lang w:val="el" w:eastAsia="el"/>
        </w:rPr>
        <w:t xml:space="preserve">• του άρθρου </w:t>
      </w:r>
      <w:r>
        <w:rPr>
          <w:b/>
          <w:bCs/>
          <w:lang w:val="el" w:eastAsia="el"/>
        </w:rPr>
        <w:t xml:space="preserve">9 παράγραφος 1 στοιχείο ιβ), </w:t>
      </w:r>
      <w:r>
        <w:rPr>
          <w:b/>
          <w:bCs/>
          <w:lang w:val="el" w:eastAsia="el"/>
        </w:rPr>
        <w:t xml:space="preserve">το οποίο αφορά στην </w:t>
      </w:r>
      <w:r>
        <w:rPr>
          <w:b/>
          <w:bCs/>
          <w:u w:val="single"/>
          <w:lang w:val="el" w:eastAsia="el"/>
        </w:rPr>
        <w:t>υποχρεωτική διατροφική επισήμανση</w:t>
      </w:r>
      <w:r>
        <w:rPr>
          <w:b/>
          <w:bCs/>
          <w:lang w:val="el" w:eastAsia="el"/>
        </w:rPr>
        <w:t xml:space="preserve"> και το οποίο εφαρμόζεται από τη </w:t>
      </w:r>
      <w:r>
        <w:rPr>
          <w:b/>
          <w:bCs/>
          <w:lang w:val="el" w:eastAsia="el"/>
        </w:rPr>
        <w:t>13η Δεκεμβρίου 2016</w:t>
      </w:r>
    </w:p>
    <w:p>
      <w:pPr>
        <w:spacing w:before="240" w:after="240"/>
        <w:rPr>
          <w:lang w:val="el" w:eastAsia="el"/>
        </w:rPr>
      </w:pPr>
      <w:r>
        <w:rPr>
          <w:b/>
          <w:bCs/>
          <w:lang w:val="el" w:eastAsia="el"/>
        </w:rPr>
        <w:t xml:space="preserve">• του </w:t>
      </w:r>
      <w:r>
        <w:rPr>
          <w:b/>
          <w:bCs/>
          <w:lang w:val="el" w:eastAsia="el"/>
        </w:rPr>
        <w:t>Μέρους Β του Παραρτήματος VI</w:t>
      </w:r>
      <w:r>
        <w:rPr>
          <w:b/>
          <w:bCs/>
          <w:lang w:val="el" w:eastAsia="el"/>
        </w:rPr>
        <w:t xml:space="preserve">, το οποίο περιλαμβάνει τις ειδικές απαιτήσεις σχετικά με το χαρακτηρισμό «κιμάς» και το οποίο εφαρμόζεται από την </w:t>
      </w:r>
      <w:r>
        <w:rPr>
          <w:b/>
          <w:bCs/>
          <w:lang w:val="el" w:eastAsia="el"/>
        </w:rPr>
        <w:t>1η Ιανουαρίου 2014</w:t>
      </w:r>
      <w:r>
        <w:rPr>
          <w:b/>
          <w:bCs/>
          <w:lang w:val="el" w:eastAsia="el"/>
        </w:rPr>
        <w:t>.</w:t>
      </w:r>
    </w:p>
    <w:p>
      <w:pPr>
        <w:spacing w:before="240" w:after="240"/>
        <w:rPr>
          <w:lang w:val="el" w:eastAsia="el"/>
        </w:rPr>
      </w:pPr>
      <w:r>
        <w:rPr>
          <w:b/>
          <w:bCs/>
          <w:lang w:val="el" w:eastAsia="el"/>
        </w:rPr>
        <w:t xml:space="preserve">Σας ενημερώνουμε ότι την εγκύκλιο αυτή, την ανευρίσκετε στην ιστοσελίδα του Γ.Χ.Κ.: </w:t>
      </w:r>
      <w:hyperlink r:id="rId5" w:history="1">
        <w:r>
          <w:rPr>
            <w:rStyle w:val="Hyperlink"/>
            <w:b/>
            <w:bCs/>
            <w:color w:val="0000EE"/>
            <w:u w:color="0000EE"/>
            <w:lang w:val="el" w:eastAsia="el"/>
          </w:rPr>
          <w:t>http://www.gcsl.gr</w:t>
        </w:r>
      </w:hyperlink>
      <w:r>
        <w:rPr>
          <w:b/>
          <w:bCs/>
          <w:lang w:val="el" w:eastAsia="el"/>
        </w:rPr>
        <w:t xml:space="preserve">, ακολουθώντας τη διαδρομή: </w:t>
      </w:r>
      <w:r>
        <w:rPr>
          <w:b/>
          <w:bCs/>
          <w:lang w:val="el" w:eastAsia="el"/>
        </w:rPr>
        <w:t>&lt;Διευθύνσεις&gt;/&lt;Διεύθυνση</w:t>
      </w:r>
    </w:p>
    <w:p>
      <w:pPr>
        <w:spacing w:before="240" w:after="240"/>
        <w:rPr>
          <w:lang w:val="el" w:eastAsia="el"/>
        </w:rPr>
      </w:pPr>
      <w:r>
        <w:rPr>
          <w:b/>
          <w:bCs/>
          <w:lang w:val="el" w:eastAsia="el"/>
        </w:rPr>
        <w:t>Τροφίμων&gt;/&lt;Εγκύκλιοι&gt;/&lt;Επισήμανση - Διατροφή&gt;.</w:t>
      </w:r>
    </w:p>
    <w:p>
      <w:pPr>
        <w:spacing w:before="240" w:after="240"/>
        <w:rPr>
          <w:lang w:val="el" w:eastAsia="el"/>
        </w:rPr>
      </w:pPr>
      <w:r>
        <w:rPr>
          <w:b/>
          <w:bCs/>
          <w:lang w:val="el" w:eastAsia="el"/>
        </w:rPr>
        <w:t>Ο αναφερόμενος κανονισμός αποστέλλεται συνημμένα σε ηλεκτρονική μορφή και μπορεί σε κάθε περίπτωση να αναζητηθεί στο διαδικτυακό τόπο της Επίσημης Εφημερίδας της Ευρωπαϊκής Ένωσης (</w:t>
      </w:r>
      <w:hyperlink r:id="rId6" w:history="1">
        <w:r>
          <w:rPr>
            <w:rStyle w:val="Hyperlink"/>
            <w:b/>
            <w:bCs/>
            <w:color w:val="0000EE"/>
            <w:u w:color="0000EE"/>
            <w:lang w:val="el" w:eastAsia="el"/>
          </w:rPr>
          <w:t>http://eur-lex.europa.eu</w:t>
        </w:r>
      </w:hyperlink>
      <w:r>
        <w:rPr>
          <w:b/>
          <w:bCs/>
          <w:lang w:val="el" w:eastAsia="el"/>
        </w:rPr>
        <w:t>).</w:t>
      </w:r>
    </w:p>
    <w:p>
      <w:pPr>
        <w:spacing w:before="240" w:after="240"/>
        <w:rPr>
          <w:lang w:val="el" w:eastAsia="el"/>
        </w:rPr>
      </w:pPr>
      <w:r>
        <w:rPr>
          <w:b/>
          <w:bCs/>
          <w:lang w:val="el" w:eastAsia="el"/>
        </w:rPr>
        <w:t>Παρακαλούμε οι Προϊστάμενοι των Υπηρεσιών του Γ.Χ.Κ. να φροντίσουν να λάβει γνώση ενυπόγραφα το τεχνικό προσωπικό.</w:t>
      </w:r>
    </w:p>
    <w:p>
      <w:pPr>
        <w:spacing w:before="240" w:after="240"/>
        <w:rPr>
          <w:lang w:val="el" w:eastAsia="el"/>
        </w:rPr>
      </w:pPr>
      <w:r>
        <w:rPr>
          <w:b/>
          <w:bCs/>
          <w:lang w:val="el" w:eastAsia="el"/>
        </w:rPr>
        <w:t>Παραμένουμε στη διάθεσή σας για οποιαδήποτε περαιτέρω πληροφορία ή διευκρίνιση.</w:t>
      </w:r>
    </w:p>
    <w:p>
      <w:pPr>
        <w:spacing w:before="240" w:after="240"/>
        <w:rPr>
          <w:lang w:val="el" w:eastAsia="el"/>
        </w:rPr>
      </w:pPr>
      <w:r>
        <w:rPr>
          <w:b/>
          <w:bCs/>
          <w:lang w:val="el" w:eastAsia="el"/>
        </w:rPr>
        <w:t>Ο Προϊστάμενος της Δ/νσηςκ.α.α.</w:t>
      </w:r>
    </w:p>
    <w:p>
      <w:pPr>
        <w:spacing w:before="240" w:after="240"/>
        <w:rPr>
          <w:lang w:val="el" w:eastAsia="el"/>
        </w:rPr>
      </w:pPr>
      <w:r>
        <w:rPr>
          <w:b/>
          <w:bCs/>
          <w:lang w:val="el" w:eastAsia="el"/>
        </w:rPr>
        <w:t>Ι. Γαρδίκης</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Καν (ΕΕ) 1169/2011 (EΕ L 304/22.11.2011, σελ.18-63) (ηλεκτρονική μορφή)</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1) </w:t>
      </w:r>
      <w:r>
        <w:rPr>
          <w:b/>
          <w:bCs/>
          <w:lang w:val="el" w:eastAsia="el"/>
        </w:rPr>
        <w:t>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Γενικό Χημείο του Κράτους</w:t>
      </w:r>
    </w:p>
    <w:p>
      <w:pPr>
        <w:pStyle w:val="StructureList1"/>
        <w:spacing w:before="120" w:after="0"/>
        <w:rPr>
          <w:lang w:val="el" w:eastAsia="el"/>
        </w:rPr>
      </w:pPr>
      <w:r>
        <w:rPr>
          <w:b/>
          <w:bCs/>
          <w:lang w:val="el" w:eastAsia="el"/>
        </w:rPr>
        <w:t>-</w:t>
      </w:r>
      <w:r>
        <w:rPr>
          <w:b/>
          <w:bCs/>
          <w:lang w:val="en" w:eastAsia="en"/>
        </w:rPr>
        <w:tab/>
      </w:r>
      <w:r>
        <w:rPr>
          <w:b/>
          <w:bCs/>
          <w:lang w:val="el" w:eastAsia="el"/>
        </w:rPr>
        <w:t>Χημικές Υπηρεσίες Γ.Χ.Κ.</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Τεχνικό προσωπικό Γ.Χ.Κ. </w:t>
      </w:r>
      <w:r>
        <w:rPr>
          <w:b/>
          <w:bCs/>
          <w:u w:val="single"/>
          <w:lang w:val="el" w:eastAsia="el"/>
        </w:rPr>
        <w:t>μέσω των Δ/νσεών τους</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Γενική Διεύθυνση Οικονομικής Επιθεώρησης</w:t>
      </w:r>
    </w:p>
    <w:p>
      <w:pPr>
        <w:pStyle w:val="StructureList1"/>
        <w:spacing w:before="120" w:after="0"/>
        <w:rPr>
          <w:lang w:val="el" w:eastAsia="el"/>
        </w:rPr>
      </w:pPr>
      <w:r>
        <w:rPr>
          <w:b/>
          <w:bCs/>
          <w:lang w:val="el" w:eastAsia="el"/>
        </w:rPr>
        <w:t>-</w:t>
      </w:r>
      <w:r>
        <w:rPr>
          <w:b/>
          <w:bCs/>
          <w:lang w:val="en" w:eastAsia="en"/>
        </w:rPr>
        <w:tab/>
      </w:r>
      <w:r>
        <w:rPr>
          <w:b/>
          <w:bCs/>
          <w:lang w:val="el" w:eastAsia="el"/>
        </w:rPr>
        <w:t>Οικονομική Επιθεώρηση Αθηνών</w:t>
      </w:r>
      <w:r>
        <w:rPr>
          <w:b/>
          <w:bCs/>
          <w:u w:val="single"/>
          <w:lang w:val="el" w:eastAsia="el"/>
        </w:rPr>
        <w:t xml:space="preserve">, </w:t>
      </w:r>
      <w:hyperlink r:id="rId7" w:history="1">
        <w:r>
          <w:rPr>
            <w:rStyle w:val="Hyperlink"/>
            <w:b/>
            <w:bCs/>
            <w:color w:val="0000EE"/>
            <w:u w:color="0000EE"/>
            <w:lang w:val="el" w:eastAsia="el"/>
          </w:rPr>
          <w:t>sp.bolkas@1990.syzefxis.gov.gr</w:t>
        </w:r>
      </w:hyperlink>
    </w:p>
    <w:p>
      <w:pPr>
        <w:pStyle w:val="StructureList1"/>
        <w:spacing w:before="120" w:after="0"/>
        <w:rPr>
          <w:lang w:val="el" w:eastAsia="el"/>
        </w:rPr>
      </w:pPr>
      <w:r>
        <w:rPr>
          <w:b/>
          <w:bCs/>
          <w:lang w:val="el" w:eastAsia="el"/>
        </w:rPr>
        <w:t>-</w:t>
      </w:r>
      <w:r>
        <w:rPr>
          <w:b/>
          <w:bCs/>
          <w:lang w:val="en" w:eastAsia="en"/>
        </w:rPr>
        <w:tab/>
      </w:r>
      <w:r>
        <w:rPr>
          <w:b/>
          <w:bCs/>
          <w:lang w:val="el" w:eastAsia="el"/>
        </w:rPr>
        <w:t>Οικονομική Επιθεώρηση Θεσσαλονίκης</w:t>
      </w:r>
      <w:r>
        <w:rPr>
          <w:b/>
          <w:bCs/>
          <w:u w:val="single"/>
          <w:lang w:val="el" w:eastAsia="el"/>
        </w:rPr>
        <w:t xml:space="preserve">, </w:t>
      </w:r>
      <w:hyperlink r:id="rId8" w:history="1">
        <w:r>
          <w:rPr>
            <w:rStyle w:val="Hyperlink"/>
            <w:b/>
            <w:bCs/>
            <w:color w:val="0000EE"/>
            <w:u w:color="0000EE"/>
            <w:lang w:val="el" w:eastAsia="el"/>
          </w:rPr>
          <w:t>oikepith.thessalonikis@n3.syzefxis.gov.gr</w:t>
        </w:r>
      </w:hyperlink>
    </w:p>
    <w:p>
      <w:pPr>
        <w:spacing w:before="240" w:after="240"/>
        <w:rPr>
          <w:lang w:val="el" w:eastAsia="el"/>
        </w:rPr>
      </w:pPr>
      <w:r>
        <w:rPr>
          <w:b/>
          <w:bCs/>
          <w:lang w:val="el" w:eastAsia="el"/>
        </w:rPr>
        <w:t xml:space="preserve">2) </w:t>
      </w:r>
      <w:r>
        <w:rPr>
          <w:b/>
          <w:bCs/>
          <w:lang w:val="el" w:eastAsia="el"/>
        </w:rPr>
        <w:t>Υπουργείο Υγείας και Κοινωνικής Αλληλεγγύης</w:t>
      </w:r>
    </w:p>
    <w:p>
      <w:pPr>
        <w:spacing w:before="240" w:after="240"/>
        <w:rPr>
          <w:lang w:val="el" w:eastAsia="el"/>
        </w:rPr>
      </w:pPr>
      <w:r>
        <w:rPr>
          <w:b/>
          <w:bCs/>
          <w:u w:val="single"/>
          <w:lang w:val="el" w:eastAsia="el"/>
        </w:rPr>
        <w:t>Ε.Φ.Ε.Τ.</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Γραφείο Προέδρου </w:t>
      </w:r>
      <w:hyperlink r:id="rId9" w:history="1">
        <w:r>
          <w:rPr>
            <w:rStyle w:val="Hyperlink"/>
            <w:b/>
            <w:bCs/>
            <w:color w:val="0000EE"/>
            <w:u w:color="0000EE"/>
            <w:lang w:val="el" w:eastAsia="el"/>
          </w:rPr>
          <w:t>info@efet.gr</w:t>
        </w:r>
      </w:hyperlink>
      <w:r>
        <w:rPr>
          <w:b/>
          <w:bCs/>
          <w:u w:val="single"/>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Δ/νση Εργαστηριακών Ελέγχων, </w:t>
      </w:r>
      <w:hyperlink r:id="rId10" w:history="1">
        <w:r>
          <w:rPr>
            <w:rStyle w:val="Hyperlink"/>
            <w:b/>
            <w:bCs/>
            <w:color w:val="0000EE"/>
            <w:u w:color="0000EE"/>
            <w:lang w:val="el" w:eastAsia="el"/>
          </w:rPr>
          <w:t>kbarberis@efet.gr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Δ/νση Διατροφικής Πολιτικής και Ερευνών, </w:t>
      </w:r>
      <w:hyperlink r:id="rId11" w:history="1">
        <w:r>
          <w:rPr>
            <w:rStyle w:val="Hyperlink"/>
            <w:b/>
            <w:bCs/>
            <w:color w:val="0000EE"/>
            <w:u w:color="0000EE"/>
            <w:lang w:val="el" w:eastAsia="el"/>
          </w:rPr>
          <w:t>etsigarida@efet.gr</w:t>
        </w:r>
      </w:hyperlink>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Δ/νση Αξιολόγησης Εγκρίσεων, </w:t>
      </w:r>
      <w:hyperlink r:id="rId12" w:history="1">
        <w:r>
          <w:rPr>
            <w:rStyle w:val="Hyperlink"/>
            <w:b/>
            <w:bCs/>
            <w:color w:val="0000EE"/>
            <w:u w:color="0000EE"/>
            <w:lang w:val="el" w:eastAsia="el"/>
          </w:rPr>
          <w:t>vkrestos@efet.gr</w:t>
        </w:r>
      </w:hyperlink>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Δ/νση Ελέγχου Επιχειρήσεων, </w:t>
      </w:r>
      <w:hyperlink r:id="rId13" w:history="1">
        <w:r>
          <w:rPr>
            <w:rStyle w:val="Hyperlink"/>
            <w:b/>
            <w:bCs/>
            <w:color w:val="0000EE"/>
            <w:u w:color="0000EE"/>
            <w:lang w:val="el" w:eastAsia="el"/>
          </w:rPr>
          <w:t>dpanteleaki@efet.gr</w:t>
        </w:r>
      </w:hyperlink>
    </w:p>
    <w:p>
      <w:pPr>
        <w:spacing w:before="240" w:after="240"/>
        <w:rPr>
          <w:lang w:val="el" w:eastAsia="el"/>
        </w:rPr>
      </w:pPr>
      <w:r>
        <w:rPr>
          <w:b/>
          <w:bCs/>
          <w:lang w:val="el" w:eastAsia="el"/>
        </w:rPr>
        <w:t xml:space="preserve">3) </w:t>
      </w:r>
      <w:r>
        <w:rPr>
          <w:b/>
          <w:bCs/>
          <w:lang w:val="el" w:eastAsia="el"/>
        </w:rPr>
        <w:t>Υπουργείο Αγροτικής Ανάπτυξης &amp; Τροφίμων</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Δ/νση Μεταποίησης Τυποποίησης &amp; Ποιοτικού Ελέγχου</w:t>
      </w:r>
    </w:p>
    <w:p>
      <w:pPr>
        <w:spacing w:before="240" w:after="240"/>
        <w:rPr>
          <w:lang w:val="el" w:eastAsia="el"/>
        </w:rPr>
      </w:pPr>
      <w:r>
        <w:rPr>
          <w:b/>
          <w:bCs/>
          <w:lang w:val="el" w:eastAsia="el"/>
        </w:rPr>
        <w:t>Προϊόντων Φυτικής Παραγωγής</w:t>
      </w:r>
    </w:p>
    <w:p>
      <w:pPr>
        <w:spacing w:before="240" w:after="240"/>
        <w:rPr>
          <w:lang w:val="el" w:eastAsia="el"/>
        </w:rPr>
      </w:pPr>
      <w:hyperlink r:id="rId14" w:history="1">
        <w:r>
          <w:rPr>
            <w:rStyle w:val="Hyperlink"/>
            <w:b/>
            <w:bCs/>
            <w:color w:val="0000EE"/>
            <w:u w:color="0000EE"/>
            <w:lang w:val="el" w:eastAsia="el"/>
          </w:rPr>
          <w:t>ax2u141@minagric.gr</w:t>
        </w:r>
      </w:hyperlink>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Γεν. Δ/νση Ζωικής Παραγωγής</w:t>
      </w:r>
    </w:p>
    <w:p>
      <w:pPr>
        <w:spacing w:before="240" w:after="240"/>
        <w:rPr>
          <w:lang w:val="el" w:eastAsia="el"/>
        </w:rPr>
      </w:pPr>
      <w:r>
        <w:rPr>
          <w:b/>
          <w:bCs/>
          <w:lang w:val="el" w:eastAsia="el"/>
        </w:rPr>
        <w:t>Δ/νση Ζωικής Παραγωγής &amp; ΑΠΑ</w:t>
      </w:r>
    </w:p>
    <w:p>
      <w:pPr>
        <w:spacing w:before="240" w:after="240"/>
        <w:rPr>
          <w:lang w:val="el" w:eastAsia="el"/>
        </w:rPr>
      </w:pPr>
      <w:hyperlink r:id="rId15" w:history="1">
        <w:r>
          <w:rPr>
            <w:rStyle w:val="Hyperlink"/>
            <w:b/>
            <w:bCs/>
            <w:color w:val="0000EE"/>
            <w:u w:color="0000EE"/>
            <w:lang w:val="el" w:eastAsia="el"/>
          </w:rPr>
          <w:t>ve46u064@minagric.gr</w:t>
        </w:r>
      </w:hyperlink>
    </w:p>
    <w:p>
      <w:pPr>
        <w:pStyle w:val="StructureList1"/>
        <w:spacing w:before="120" w:after="0"/>
        <w:rPr>
          <w:lang w:val="el" w:eastAsia="el"/>
        </w:rPr>
      </w:pPr>
      <w:r>
        <w:rPr>
          <w:b/>
          <w:bCs/>
          <w:lang w:val="el" w:eastAsia="el"/>
        </w:rPr>
        <w:t>γ)</w:t>
      </w:r>
      <w:r>
        <w:rPr>
          <w:b/>
          <w:bCs/>
          <w:lang w:val="en" w:eastAsia="en"/>
        </w:rPr>
        <w:tab/>
      </w:r>
      <w:r>
        <w:rPr>
          <w:b/>
          <w:bCs/>
          <w:u w:val="single"/>
          <w:lang w:val="el" w:eastAsia="el"/>
        </w:rPr>
        <w:t>Γεν. Δ/νση Κτηνιατρικής</w:t>
      </w:r>
    </w:p>
    <w:p>
      <w:pPr>
        <w:spacing w:before="240" w:after="240"/>
        <w:rPr>
          <w:lang w:val="el" w:eastAsia="el"/>
        </w:rPr>
      </w:pPr>
      <w:hyperlink r:id="rId16" w:history="1">
        <w:r>
          <w:rPr>
            <w:rStyle w:val="Hyperlink"/>
            <w:b/>
            <w:bCs/>
            <w:color w:val="0000EE"/>
            <w:u w:color="0000EE"/>
            <w:lang w:val="el" w:eastAsia="el"/>
          </w:rPr>
          <w:t>ka6u004@minagric.gr</w:t>
        </w:r>
      </w:hyperlink>
    </w:p>
    <w:p>
      <w:pPr>
        <w:pStyle w:val="StructureList1"/>
        <w:spacing w:before="120" w:after="0"/>
        <w:rPr>
          <w:lang w:val="el" w:eastAsia="el"/>
        </w:rPr>
      </w:pPr>
      <w:r>
        <w:rPr>
          <w:b/>
          <w:bCs/>
          <w:lang w:val="el" w:eastAsia="el"/>
        </w:rPr>
        <w:t>δ)</w:t>
      </w:r>
      <w:r>
        <w:rPr>
          <w:b/>
          <w:bCs/>
          <w:lang w:val="en" w:eastAsia="en"/>
        </w:rPr>
        <w:tab/>
      </w:r>
      <w:r>
        <w:rPr>
          <w:b/>
          <w:bCs/>
          <w:u w:val="single"/>
          <w:lang w:val="el" w:eastAsia="el"/>
        </w:rPr>
        <w:t>ΟΠΕΚΕΠΕ</w:t>
      </w:r>
      <w:r>
        <w:rPr>
          <w:b/>
          <w:bCs/>
          <w:lang w:val="el" w:eastAsia="el"/>
        </w:rPr>
        <w:t xml:space="preserve"> - Δ/νση Μηχανισμών Αγοράς, Τμήμα Αγοράς </w:t>
      </w:r>
      <w:hyperlink r:id="rId17" w:history="1">
        <w:r>
          <w:rPr>
            <w:rStyle w:val="Hyperlink"/>
            <w:b/>
            <w:bCs/>
            <w:color w:val="0000EE"/>
            <w:u w:color="0000EE"/>
            <w:lang w:val="el" w:eastAsia="el"/>
          </w:rPr>
          <w:t>maria.katsenou@opekepe.gr</w:t>
        </w:r>
      </w:hyperlink>
    </w:p>
    <w:p>
      <w:pPr>
        <w:spacing w:before="240" w:after="240"/>
        <w:rPr>
          <w:lang w:val="el" w:eastAsia="el"/>
        </w:rPr>
      </w:pPr>
      <w:r>
        <w:rPr>
          <w:b/>
          <w:bCs/>
          <w:lang w:val="el" w:eastAsia="el"/>
        </w:rPr>
        <w:t xml:space="preserve">4) </w:t>
      </w:r>
      <w:r>
        <w:rPr>
          <w:b/>
          <w:bCs/>
          <w:lang w:val="el" w:eastAsia="el"/>
        </w:rPr>
        <w:t>Υπουργείο Ανάπτυξης, Ανταγωνιστικότητας και Ναυτιλίας</w:t>
      </w:r>
    </w:p>
    <w:p>
      <w:pPr>
        <w:spacing w:before="240" w:after="240"/>
        <w:rPr>
          <w:lang w:val="el" w:eastAsia="el"/>
        </w:rPr>
      </w:pPr>
      <w:r>
        <w:rPr>
          <w:b/>
          <w:bCs/>
          <w:u w:val="single"/>
          <w:lang w:val="el" w:eastAsia="el"/>
        </w:rPr>
        <w:t>Γενική Γραμματεία Εμπορίου,</w:t>
      </w:r>
      <w:hyperlink r:id="rId18" w:history="1">
        <w:r>
          <w:rPr>
            <w:rStyle w:val="Hyperlink"/>
            <w:b/>
            <w:bCs/>
            <w:color w:val="0000EE"/>
            <w:u w:color="0000EE"/>
            <w:lang w:val="el" w:eastAsia="el"/>
          </w:rPr>
          <w:t>gge@gge.gr</w:t>
        </w:r>
      </w:hyperlink>
    </w:p>
    <w:p>
      <w:pPr>
        <w:spacing w:before="240" w:after="240"/>
        <w:rPr>
          <w:lang w:val="el" w:eastAsia="el"/>
        </w:rPr>
      </w:pPr>
      <w:r>
        <w:rPr>
          <w:b/>
          <w:bCs/>
          <w:lang w:val="el" w:eastAsia="el"/>
        </w:rPr>
        <w:t xml:space="preserve">5) </w:t>
      </w:r>
      <w:r>
        <w:rPr>
          <w:b/>
          <w:bCs/>
          <w:lang w:val="el" w:eastAsia="el"/>
        </w:rPr>
        <w:t>Υπουργείο Εργασίας και Κοινωνικής Ασφάλισης</w:t>
      </w:r>
    </w:p>
    <w:p>
      <w:pPr>
        <w:spacing w:before="240" w:after="240"/>
        <w:rPr>
          <w:lang w:val="el" w:eastAsia="el"/>
        </w:rPr>
      </w:pPr>
      <w:r>
        <w:rPr>
          <w:b/>
          <w:bCs/>
          <w:u w:val="single"/>
          <w:lang w:val="el" w:eastAsia="el"/>
        </w:rPr>
        <w:t>Γενική Γραμματεία Καταναλωτή</w:t>
      </w:r>
    </w:p>
    <w:p>
      <w:pPr>
        <w:spacing w:before="240" w:after="240"/>
        <w:rPr>
          <w:lang w:val="el" w:eastAsia="el"/>
        </w:rPr>
      </w:pPr>
      <w:r>
        <w:rPr>
          <w:b/>
          <w:bCs/>
          <w:lang w:val="el" w:eastAsia="el"/>
        </w:rPr>
        <w:t>Δ/νση Τεχν. Ελέγχου</w:t>
      </w:r>
    </w:p>
    <w:p>
      <w:pPr>
        <w:spacing w:before="240" w:after="240"/>
        <w:rPr>
          <w:lang w:val="el" w:eastAsia="el"/>
        </w:rPr>
      </w:pPr>
      <w:hyperlink r:id="rId19" w:history="1">
        <w:r>
          <w:rPr>
            <w:rStyle w:val="Hyperlink"/>
            <w:b/>
            <w:bCs/>
            <w:color w:val="0000EE"/>
            <w:u w:color="0000EE"/>
            <w:lang w:val="el" w:eastAsia="el"/>
          </w:rPr>
          <w:t>info@efpolis.gr</w:t>
        </w:r>
      </w:hyperlink>
    </w:p>
    <w:p>
      <w:pPr>
        <w:spacing w:before="240" w:after="240"/>
        <w:rPr>
          <w:lang w:val="el" w:eastAsia="el"/>
        </w:rPr>
      </w:pPr>
      <w:r>
        <w:rPr>
          <w:b/>
          <w:bCs/>
          <w:lang w:val="el" w:eastAsia="el"/>
        </w:rPr>
        <w:t xml:space="preserve">6) </w:t>
      </w:r>
      <w:r>
        <w:rPr>
          <w:b/>
          <w:bCs/>
          <w:lang w:val="el" w:eastAsia="el"/>
        </w:rPr>
        <w:t>Εισαγγελία Πρωτοδικών Αθηνών,</w:t>
      </w:r>
    </w:p>
    <w:p>
      <w:pPr>
        <w:spacing w:before="240" w:after="240"/>
        <w:rPr>
          <w:lang w:val="el" w:eastAsia="el"/>
        </w:rPr>
      </w:pPr>
      <w:r>
        <w:rPr>
          <w:b/>
          <w:bCs/>
          <w:u w:val="single"/>
          <w:lang w:val="el" w:eastAsia="el"/>
        </w:rPr>
        <w:t>Εισαγγελία Αγορανομίας,</w:t>
      </w:r>
      <w:hyperlink r:id="rId20" w:history="1">
        <w:r>
          <w:rPr>
            <w:rStyle w:val="Hyperlink"/>
            <w:b/>
            <w:bCs/>
            <w:color w:val="0000EE"/>
            <w:u w:color="0000EE"/>
            <w:lang w:val="el" w:eastAsia="el"/>
          </w:rPr>
          <w:t>eispa01@otenet.gr</w:t>
        </w:r>
      </w:hyperlink>
    </w:p>
    <w:p>
      <w:pPr>
        <w:spacing w:before="240" w:after="240"/>
        <w:rPr>
          <w:lang w:val="el" w:eastAsia="el"/>
        </w:rPr>
      </w:pPr>
      <w:r>
        <w:rPr>
          <w:b/>
          <w:bCs/>
          <w:lang w:val="el" w:eastAsia="el"/>
        </w:rPr>
        <w:t xml:space="preserve">7) </w:t>
      </w:r>
      <w:r>
        <w:rPr>
          <w:b/>
          <w:bCs/>
          <w:lang w:val="el" w:eastAsia="el"/>
        </w:rPr>
        <w:t>Συνήγορος του Καταναλωτή</w:t>
      </w:r>
      <w:r>
        <w:rPr>
          <w:b/>
          <w:bCs/>
          <w:lang w:val="el" w:eastAsia="el"/>
        </w:rPr>
        <w:t xml:space="preserve">, </w:t>
      </w:r>
      <w:hyperlink r:id="rId21" w:history="1">
        <w:r>
          <w:rPr>
            <w:rStyle w:val="Hyperlink"/>
            <w:b/>
            <w:bCs/>
            <w:color w:val="0000EE"/>
            <w:u w:color="0000EE"/>
            <w:lang w:val="el" w:eastAsia="el"/>
          </w:rPr>
          <w:t>grammateia@synigoroskatanaloti.gr</w:t>
        </w:r>
      </w:hyperlink>
    </w:p>
    <w:p>
      <w:pPr>
        <w:spacing w:before="240" w:after="240"/>
        <w:rPr>
          <w:lang w:val="el" w:eastAsia="el"/>
        </w:rPr>
      </w:pPr>
      <w:r>
        <w:rPr>
          <w:b/>
          <w:bCs/>
          <w:lang w:val="el" w:eastAsia="el"/>
        </w:rPr>
        <w:t xml:space="preserve">8) </w:t>
      </w:r>
      <w:r>
        <w:rPr>
          <w:b/>
          <w:bCs/>
          <w:lang w:val="el" w:eastAsia="el"/>
        </w:rPr>
        <w:t>Ένωση Ελλήνων Χημικών</w:t>
      </w:r>
    </w:p>
    <w:p>
      <w:pPr>
        <w:pStyle w:val="Heading1"/>
        <w:spacing w:before="240" w:after="240"/>
        <w:rPr>
          <w:lang w:val="el" w:eastAsia="el"/>
        </w:rPr>
      </w:pPr>
      <w:r>
        <w:rPr>
          <w:b/>
          <w:bCs/>
          <w:u w:val="single"/>
          <w:lang w:val="el" w:eastAsia="el"/>
        </w:rPr>
        <w:t xml:space="preserve">Τμήμα </w:t>
      </w:r>
    </w:p>
    <w:p>
      <w:pPr>
        <w:pStyle w:val="Heading1"/>
        <w:spacing w:before="240" w:after="240"/>
        <w:rPr>
          <w:lang w:val="el" w:eastAsia="el"/>
        </w:rPr>
      </w:pPr>
      <w:r>
        <w:rPr>
          <w:b/>
          <w:bCs/>
          <w:u w:val="single"/>
          <w:lang w:val="el" w:eastAsia="el"/>
        </w:rPr>
        <w:t>Τροφίμων</w:t>
      </w:r>
    </w:p>
    <w:p>
      <w:pPr>
        <w:spacing w:before="240" w:after="240"/>
        <w:rPr>
          <w:lang w:val="el" w:eastAsia="el"/>
        </w:rPr>
      </w:pPr>
      <w:hyperlink r:id="rId22" w:history="1">
        <w:r>
          <w:rPr>
            <w:rStyle w:val="Hyperlink"/>
            <w:b/>
            <w:bCs/>
            <w:color w:val="0000EE"/>
            <w:u w:color="0000EE"/>
            <w:lang w:val="el" w:eastAsia="el"/>
          </w:rPr>
          <w:t>info@eex.gr</w:t>
        </w:r>
      </w:hyperlink>
    </w:p>
    <w:p>
      <w:pPr>
        <w:spacing w:before="240" w:after="240"/>
        <w:rPr>
          <w:lang w:val="el" w:eastAsia="el"/>
        </w:rPr>
      </w:pPr>
      <w:r>
        <w:rPr>
          <w:b/>
          <w:bCs/>
          <w:lang w:val="el" w:eastAsia="el"/>
        </w:rPr>
        <w:t xml:space="preserve">9) </w:t>
      </w:r>
      <w:r>
        <w:rPr>
          <w:b/>
          <w:bCs/>
          <w:lang w:val="el" w:eastAsia="el"/>
        </w:rPr>
        <w:t>Σ.Ε.Β.Τ. ,</w:t>
      </w:r>
      <w:hyperlink r:id="rId23" w:history="1">
        <w:r>
          <w:rPr>
            <w:rStyle w:val="Hyperlink"/>
            <w:b/>
            <w:bCs/>
            <w:color w:val="0000EE"/>
            <w:u w:color="0000EE"/>
            <w:lang w:val="el" w:eastAsia="el"/>
          </w:rPr>
          <w:t>sevt@hol.gr</w:t>
        </w:r>
      </w:hyperlink>
    </w:p>
    <w:p>
      <w:pPr>
        <w:spacing w:before="240" w:after="240"/>
        <w:rPr>
          <w:lang w:val="el" w:eastAsia="el"/>
        </w:rPr>
      </w:pPr>
      <w:r>
        <w:rPr>
          <w:b/>
          <w:bCs/>
          <w:lang w:val="el" w:eastAsia="el"/>
        </w:rPr>
        <w:t xml:space="preserve">10) </w:t>
      </w:r>
      <w:r>
        <w:rPr>
          <w:b/>
          <w:bCs/>
          <w:lang w:val="el" w:eastAsia="el"/>
        </w:rPr>
        <w:t xml:space="preserve">Σύνδεσμος Βιομηχανιών Βορείου Ελλάδος , </w:t>
      </w:r>
      <w:hyperlink r:id="rId24" w:history="1">
        <w:r>
          <w:rPr>
            <w:rStyle w:val="Hyperlink"/>
            <w:b/>
            <w:bCs/>
            <w:color w:val="0000EE"/>
            <w:u w:color="0000EE"/>
            <w:lang w:val="el" w:eastAsia="el"/>
          </w:rPr>
          <w:t>info@sbbe.gr</w:t>
        </w:r>
      </w:hyperlink>
    </w:p>
    <w:p>
      <w:pPr>
        <w:spacing w:before="240" w:after="240"/>
        <w:rPr>
          <w:lang w:val="el" w:eastAsia="el"/>
        </w:rPr>
      </w:pPr>
      <w:r>
        <w:rPr>
          <w:b/>
          <w:bCs/>
          <w:lang w:val="el" w:eastAsia="el"/>
        </w:rPr>
        <w:t xml:space="preserve">11) </w:t>
      </w:r>
      <w:r>
        <w:rPr>
          <w:b/>
          <w:bCs/>
          <w:lang w:val="el" w:eastAsia="el"/>
        </w:rPr>
        <w:t xml:space="preserve">Εμπορικό και Βιομηχανικό Επιμελητήριο Αθηνών, </w:t>
      </w:r>
      <w:hyperlink r:id="rId25"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12) </w:t>
      </w:r>
      <w:r>
        <w:rPr>
          <w:b/>
          <w:bCs/>
          <w:lang w:val="el" w:eastAsia="el"/>
        </w:rPr>
        <w:t xml:space="preserve">Σύνδεσμος Αλευροβιομηχάνων Ελλάδας, </w:t>
      </w:r>
      <w:hyperlink r:id="rId26" w:history="1">
        <w:r>
          <w:rPr>
            <w:rStyle w:val="Hyperlink"/>
            <w:b/>
            <w:bCs/>
            <w:color w:val="0000EE"/>
            <w:u w:color="0000EE"/>
            <w:lang w:val="el" w:eastAsia="el"/>
          </w:rPr>
          <w:t>ims@mills.gr</w:t>
        </w:r>
      </w:hyperlink>
    </w:p>
    <w:p>
      <w:pPr>
        <w:spacing w:before="240" w:after="240"/>
        <w:rPr>
          <w:lang w:val="el" w:eastAsia="el"/>
        </w:rPr>
      </w:pPr>
      <w:r>
        <w:rPr>
          <w:b/>
          <w:bCs/>
          <w:u w:val="single"/>
          <w:lang w:val="el" w:eastAsia="el"/>
        </w:rPr>
        <w:t>Εσωτερική διανομή</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Προϊσταμένης Γεν. Διεύθυνσης</w:t>
      </w:r>
    </w:p>
    <w:p>
      <w:pPr>
        <w:pStyle w:val="StructureList1"/>
        <w:spacing w:before="120" w:after="0"/>
        <w:rPr>
          <w:lang w:val="el" w:eastAsia="el"/>
        </w:rPr>
      </w:pPr>
      <w:r>
        <w:rPr>
          <w:b/>
          <w:bCs/>
          <w:lang w:val="el" w:eastAsia="el"/>
        </w:rPr>
        <w:t>-</w:t>
      </w:r>
      <w:r>
        <w:rPr>
          <w:b/>
          <w:bCs/>
          <w:lang w:val="en" w:eastAsia="en"/>
        </w:rPr>
        <w:tab/>
      </w:r>
      <w:r>
        <w:rPr>
          <w:b/>
          <w:bCs/>
          <w:lang w:val="el" w:eastAsia="el"/>
        </w:rPr>
        <w:t>Δ/νση Τροφίμων - Τμ. Α’, Β’</w:t>
      </w:r>
    </w:p>
    <w:p>
      <w:pPr>
        <w:pStyle w:val="StructureList1"/>
        <w:spacing w:before="120" w:after="0"/>
        <w:rPr>
          <w:lang w:val="el" w:eastAsia="el"/>
        </w:rPr>
      </w:pPr>
      <w:r>
        <w:rPr>
          <w:b/>
          <w:bCs/>
          <w:lang w:val="el" w:eastAsia="el"/>
        </w:rPr>
        <w:t>-</w:t>
      </w:r>
      <w:r>
        <w:rPr>
          <w:b/>
          <w:bCs/>
          <w:lang w:val="en" w:eastAsia="en"/>
        </w:rPr>
        <w:tab/>
      </w:r>
      <w:r>
        <w:rPr>
          <w:b/>
          <w:bCs/>
          <w:lang w:val="el" w:eastAsia="el"/>
        </w:rPr>
        <w:t>Δ/νσεις Κ. Υ. / Γ. Χ. Κ.</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Α. Χ. Σ</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Α.Ε.Τ.Α.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barberis@efet.gr" TargetMode="External" /><Relationship Id="rId11" Type="http://schemas.openxmlformats.org/officeDocument/2006/relationships/hyperlink" Target="mailto:etsigarida@efet.gr" TargetMode="External" /><Relationship Id="rId12" Type="http://schemas.openxmlformats.org/officeDocument/2006/relationships/hyperlink" Target="mailto:vkrestos@efet.gr" TargetMode="External" /><Relationship Id="rId13" Type="http://schemas.openxmlformats.org/officeDocument/2006/relationships/hyperlink" Target="mailto:dpanteleaki@efet.gr" TargetMode="External" /><Relationship Id="rId14" Type="http://schemas.openxmlformats.org/officeDocument/2006/relationships/hyperlink" Target="mailto:ax2u141@minagric.gr" TargetMode="External" /><Relationship Id="rId15" Type="http://schemas.openxmlformats.org/officeDocument/2006/relationships/hyperlink" Target="mailto:ve46u064@minagric.gr" TargetMode="External" /><Relationship Id="rId16" Type="http://schemas.openxmlformats.org/officeDocument/2006/relationships/hyperlink" Target="mailto:ka6u004@minagric.gr" TargetMode="External" /><Relationship Id="rId17" Type="http://schemas.openxmlformats.org/officeDocument/2006/relationships/hyperlink" Target="mailto:maria.katsenou@opekepe.gr" TargetMode="External" /><Relationship Id="rId18" Type="http://schemas.openxmlformats.org/officeDocument/2006/relationships/hyperlink" Target="mailto:gge@gge.gr" TargetMode="External" /><Relationship Id="rId19" Type="http://schemas.openxmlformats.org/officeDocument/2006/relationships/hyperlink" Target="mailto:info@efpolis.gr" TargetMode="External" /><Relationship Id="rId2" Type="http://schemas.openxmlformats.org/officeDocument/2006/relationships/webSettings" Target="webSettings.xml" /><Relationship Id="rId20" Type="http://schemas.openxmlformats.org/officeDocument/2006/relationships/hyperlink" Target="mailto:eispa01@otenet.gr" TargetMode="External" /><Relationship Id="rId21" Type="http://schemas.openxmlformats.org/officeDocument/2006/relationships/hyperlink" Target="mailto:grammateia@synigoroskatanaloti.gr" TargetMode="External" /><Relationship Id="rId22" Type="http://schemas.openxmlformats.org/officeDocument/2006/relationships/hyperlink" Target="mailto:info@eex.gr" TargetMode="External" /><Relationship Id="rId23" Type="http://schemas.openxmlformats.org/officeDocument/2006/relationships/hyperlink" Target="mailto:sevt@hol.gr" TargetMode="External" /><Relationship Id="rId24" Type="http://schemas.openxmlformats.org/officeDocument/2006/relationships/hyperlink" Target="mailto:info@sbbe.gr" TargetMode="External" /><Relationship Id="rId25" Type="http://schemas.openxmlformats.org/officeDocument/2006/relationships/hyperlink" Target="mailto:info@acci.gr" TargetMode="External" /><Relationship Id="rId26" Type="http://schemas.openxmlformats.org/officeDocument/2006/relationships/hyperlink" Target="mailto:ims@mills.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trof@gcsl.gr" TargetMode="External" /><Relationship Id="rId5" Type="http://schemas.openxmlformats.org/officeDocument/2006/relationships/hyperlink" Target="http://www.gcsl.gr" TargetMode="External" /><Relationship Id="rId6" Type="http://schemas.openxmlformats.org/officeDocument/2006/relationships/hyperlink" Target="http://eur-lex.europa.eu" TargetMode="External" /><Relationship Id="rId7" Type="http://schemas.openxmlformats.org/officeDocument/2006/relationships/hyperlink" Target="mailto:sp.bolkas@1990.syzefxis.gov.gr" TargetMode="External" /><Relationship Id="rId8" Type="http://schemas.openxmlformats.org/officeDocument/2006/relationships/hyperlink" Target="mailto:oikepith.thessalonikis@n3.syzefxis.gov.gr" TargetMode="External" /><Relationship Id="rId9" Type="http://schemas.openxmlformats.org/officeDocument/2006/relationships/hyperlink" Target="mailto:info@ef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