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ΦΟΡΟΛΟΓΙΚΩΝ &amp;</w:t>
      </w:r>
    </w:p>
    <w:p>
      <w:pPr>
        <w:pStyle w:val="PreambelText"/>
        <w:spacing w:before="240" w:after="240"/>
        <w:rPr>
          <w:lang w:val="el" w:eastAsia="el"/>
        </w:rPr>
      </w:pPr>
      <w:r>
        <w:rPr>
          <w:b/>
          <w:bCs/>
          <w:lang w:val="el" w:eastAsia="el"/>
        </w:rPr>
        <w:t>ΤΕΛΩΝΕΙΑΚΩΝ ΘΕΜΑΤΩΝ</w:t>
      </w:r>
    </w:p>
    <w:p>
      <w:pPr>
        <w:pStyle w:val="PreambelText"/>
        <w:spacing w:before="240" w:after="240"/>
        <w:rPr>
          <w:lang w:val="el" w:eastAsia="el"/>
        </w:rPr>
      </w:pPr>
      <w:r>
        <w:rPr>
          <w:b/>
          <w:bCs/>
          <w:lang w:val="el" w:eastAsia="el"/>
        </w:rPr>
        <w:t>ΓΕΝΙΚΗ ΔΙΕΥΘΥΝΣΗ</w:t>
      </w:r>
    </w:p>
    <w:p>
      <w:pPr>
        <w:pStyle w:val="PreambelText"/>
        <w:spacing w:before="240" w:after="240"/>
        <w:rPr>
          <w:lang w:val="el" w:eastAsia="el"/>
        </w:rPr>
      </w:pPr>
      <w:r>
        <w:rPr>
          <w:b/>
          <w:bCs/>
          <w:lang w:val="el" w:eastAsia="el"/>
        </w:rPr>
        <w:t>ΔΙΕΥΘΥΝΣΗ ΤΡΟΦΙΜΩΝ</w:t>
      </w:r>
    </w:p>
    <w:p>
      <w:pPr>
        <w:pStyle w:val="PreambelText"/>
        <w:spacing w:before="240" w:after="240"/>
        <w:rPr>
          <w:lang w:val="el" w:eastAsia="el"/>
        </w:rPr>
      </w:pPr>
      <w:r>
        <w:rPr>
          <w:b/>
          <w:bCs/>
          <w:lang w:val="el" w:eastAsia="el"/>
        </w:rPr>
        <w:t>TMHMA 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Αθήνα, 27/01/2012</w:t>
      </w:r>
    </w:p>
    <w:p>
      <w:pPr>
        <w:pStyle w:val="PreambelText"/>
        <w:spacing w:before="240" w:after="240"/>
        <w:rPr>
          <w:lang w:val="el" w:eastAsia="el"/>
        </w:rPr>
      </w:pPr>
      <w:r>
        <w:rPr>
          <w:b/>
          <w:bCs/>
          <w:lang w:val="el" w:eastAsia="el"/>
        </w:rPr>
        <w:t>Αριθ.Πρωτ.: 30/003/97</w:t>
      </w:r>
    </w:p>
    <w:p>
      <w:pPr>
        <w:pStyle w:val="PreambelText"/>
        <w:spacing w:before="240" w:after="240"/>
        <w:rPr>
          <w:lang w:val="el" w:eastAsia="el"/>
        </w:rPr>
      </w:pPr>
      <w:r>
        <w:rPr>
          <w:b/>
          <w:bCs/>
          <w:lang w:val="el" w:eastAsia="el"/>
        </w:rPr>
        <w:t>ΠΡΟΣ</w:t>
      </w:r>
    </w:p>
    <w:p>
      <w:pPr>
        <w:pStyle w:val="PreambelText"/>
        <w:spacing w:before="240" w:after="240"/>
        <w:rPr>
          <w:lang w:val="el" w:eastAsia="el"/>
        </w:rPr>
      </w:pPr>
      <w:r>
        <w:rPr>
          <w:b/>
          <w:bCs/>
          <w:lang w:val="el" w:eastAsia="el"/>
        </w:rPr>
        <w:t>: Αν. Τσόχα 16</w:t>
      </w:r>
    </w:p>
    <w:p>
      <w:pPr>
        <w:pStyle w:val="PreambelText"/>
        <w:spacing w:before="240" w:after="240"/>
        <w:rPr>
          <w:lang w:val="el" w:eastAsia="el"/>
        </w:rPr>
      </w:pPr>
      <w:r>
        <w:rPr>
          <w:b/>
          <w:bCs/>
          <w:lang w:val="el" w:eastAsia="el"/>
        </w:rPr>
        <w:t>: 115 21</w:t>
      </w:r>
    </w:p>
    <w:p>
      <w:pPr>
        <w:pStyle w:val="PreambelText"/>
        <w:spacing w:before="240" w:after="240"/>
        <w:rPr>
          <w:lang w:val="el" w:eastAsia="el"/>
        </w:rPr>
      </w:pPr>
      <w:r>
        <w:rPr>
          <w:b/>
          <w:bCs/>
          <w:lang w:val="el" w:eastAsia="el"/>
        </w:rPr>
        <w:t>: 210-6467725</w:t>
      </w:r>
    </w:p>
    <w:p>
      <w:pPr>
        <w:pStyle w:val="PreambelText"/>
        <w:spacing w:before="240" w:after="240"/>
        <w:rPr>
          <w:lang w:val="el" w:eastAsia="el"/>
        </w:rPr>
      </w:pPr>
      <w:r>
        <w:rPr>
          <w:b/>
          <w:bCs/>
          <w:lang w:val="el" w:eastAsia="el"/>
        </w:rPr>
        <w:t>: Δ. Στεφανίτση</w:t>
      </w:r>
    </w:p>
    <w:p>
      <w:pPr>
        <w:pStyle w:val="PreambelText"/>
        <w:spacing w:before="240" w:after="240"/>
        <w:rPr>
          <w:lang w:val="el" w:eastAsia="el"/>
        </w:rPr>
      </w:pPr>
      <w:r>
        <w:rPr>
          <w:b/>
          <w:bCs/>
          <w:lang w:val="el" w:eastAsia="el"/>
        </w:rPr>
        <w:t>: 213-2117236</w:t>
      </w:r>
    </w:p>
    <w:p>
      <w:pPr>
        <w:pStyle w:val="PreambelText"/>
        <w:spacing w:before="240" w:after="240"/>
        <w:rPr>
          <w:lang w:val="el" w:eastAsia="el"/>
        </w:rPr>
      </w:pPr>
      <w:r>
        <w:rPr>
          <w:b/>
          <w:bCs/>
          <w:lang w:val="el" w:eastAsia="el"/>
        </w:rPr>
        <w:t xml:space="preserve">: </w:t>
      </w:r>
      <w:hyperlink r:id="rId4" w:history="1">
        <w:r>
          <w:rPr>
            <w:rStyle w:val="Hyperlink"/>
            <w:b/>
            <w:bCs/>
            <w:color w:val="0000EE"/>
            <w:u w:color="0000EE"/>
            <w:lang w:val="el" w:eastAsia="el"/>
          </w:rPr>
          <w:t>trof@gcsl.gr</w:t>
        </w:r>
      </w:hyperlink>
    </w:p>
    <w:p>
      <w:pPr>
        <w:pStyle w:val="PreambelText"/>
        <w:spacing w:before="240" w:after="240"/>
        <w:rPr>
          <w:lang w:val="el" w:eastAsia="el"/>
        </w:rPr>
      </w:pPr>
      <w:r>
        <w:rPr>
          <w:b/>
          <w:bCs/>
          <w:u w:val="single"/>
          <w:lang w:val="el" w:eastAsia="el"/>
        </w:rPr>
        <w:t>Θέμα</w:t>
      </w:r>
      <w:r>
        <w:rPr>
          <w:b/>
          <w:bCs/>
          <w:lang w:val="el" w:eastAsia="el"/>
        </w:rPr>
        <w:t>: Απόφαση του Ανωτάτου Χημικού Συμβουλίου (ΑΧΣ) με αριθ. 236/2011</w:t>
      </w:r>
    </w:p>
    <w:p>
      <w:pPr>
        <w:pStyle w:val="StructureList1"/>
        <w:spacing w:before="120" w:after="0"/>
        <w:rPr>
          <w:lang w:val="el" w:eastAsia="el"/>
        </w:rPr>
      </w:pPr>
      <w:r>
        <w:rPr>
          <w:lang w:val="el" w:eastAsia="el"/>
        </w:rPr>
        <w:t>-</w:t>
      </w:r>
      <w:r>
        <w:rPr>
          <w:lang w:val="en" w:eastAsia="en"/>
        </w:rPr>
        <w:tab/>
      </w:r>
      <w:r>
        <w:rPr>
          <w:b/>
          <w:bCs/>
          <w:lang w:val="el" w:eastAsia="el"/>
        </w:rPr>
        <w:t>Ενημέρωση του Κώδικα Τροφίμων και Ποτών (ΚΤΠ)</w:t>
      </w:r>
    </w:p>
    <w:p>
      <w:pPr>
        <w:pStyle w:val="PreambelText"/>
        <w:spacing w:before="240" w:after="240"/>
        <w:rPr>
          <w:lang w:val="el" w:eastAsia="el"/>
        </w:rPr>
      </w:pPr>
      <w:r>
        <w:rPr>
          <w:lang w:val="el" w:eastAsia="el"/>
        </w:rPr>
        <w:t>Σας ενημερώνουμε ότι δημοσιεύτηκε στην Εφημερίδα της Κυβερνήσεως (</w:t>
      </w:r>
      <w:r>
        <w:rPr>
          <w:b/>
          <w:bCs/>
          <w:lang w:val="el" w:eastAsia="el"/>
        </w:rPr>
        <w:t>ΦΕΚ 4/Β/4-1-2012</w:t>
      </w:r>
      <w:r>
        <w:rPr>
          <w:lang w:val="el" w:eastAsia="el"/>
        </w:rPr>
        <w:t xml:space="preserve">) η αριθ. </w:t>
      </w:r>
      <w:r>
        <w:rPr>
          <w:b/>
          <w:bCs/>
          <w:lang w:val="el" w:eastAsia="el"/>
        </w:rPr>
        <w:t xml:space="preserve">236/2011 </w:t>
      </w:r>
      <w:r>
        <w:rPr>
          <w:lang w:val="el" w:eastAsia="el"/>
        </w:rPr>
        <w:t xml:space="preserve">απόφαση του Ανωτάτου Χημικού Συμβουλίου (ΑΧΣ) με θέμα: «Τροποποίηση του </w:t>
      </w:r>
      <w:r>
        <w:rPr>
          <w:b/>
          <w:bCs/>
          <w:lang w:val="el" w:eastAsia="el"/>
        </w:rPr>
        <w:t xml:space="preserve">Άρθρου 18 </w:t>
      </w:r>
      <w:r>
        <w:rPr>
          <w:lang w:val="el" w:eastAsia="el"/>
        </w:rPr>
        <w:t xml:space="preserve">«Γνωμάτευση», του </w:t>
      </w:r>
      <w:r>
        <w:rPr>
          <w:b/>
          <w:bCs/>
          <w:lang w:val="el" w:eastAsia="el"/>
        </w:rPr>
        <w:t xml:space="preserve">Άρθρου 3 </w:t>
      </w:r>
      <w:r>
        <w:rPr>
          <w:lang w:val="el" w:eastAsia="el"/>
        </w:rPr>
        <w:t xml:space="preserve">«Διάθεση και επεξεργασία τροφίμων» και του </w:t>
      </w:r>
      <w:r>
        <w:rPr>
          <w:b/>
          <w:bCs/>
          <w:lang w:val="el" w:eastAsia="el"/>
        </w:rPr>
        <w:t xml:space="preserve">Άρθρου 29 </w:t>
      </w:r>
      <w:r>
        <w:rPr>
          <w:lang w:val="el" w:eastAsia="el"/>
        </w:rPr>
        <w:t>«Διάκριση και Γενικοί Όροι χρησιμοποίησης προσθέτων υλών», του Κώδικα Τροφίμων και Ποτών (ΦΕΚ 788/Β/31.12.1987) όπως ισχύει, σύμφωνα με τον Κανονισμό (ΕΚ) αριθ. 178/2002 του Ευρωπαϊκού Κοινοβουλίου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των τροφίμων»</w:t>
      </w:r>
      <w:r>
        <w:rPr>
          <w:b/>
          <w:bCs/>
          <w:lang w:val="el" w:eastAsia="el"/>
        </w:rPr>
        <w:t>.</w:t>
      </w:r>
    </w:p>
    <w:p>
      <w:pPr>
        <w:pStyle w:val="PreambelText"/>
        <w:spacing w:before="240" w:after="240"/>
        <w:rPr>
          <w:lang w:val="el" w:eastAsia="el"/>
        </w:rPr>
      </w:pPr>
      <w:r>
        <w:rPr>
          <w:b/>
          <w:bCs/>
          <w:u w:val="single"/>
          <w:lang w:val="el" w:eastAsia="el"/>
        </w:rPr>
        <w:t>Σύμφωνα με την ανωτέρω απόφαση:</w:t>
      </w:r>
    </w:p>
    <w:p>
      <w:pPr>
        <w:pStyle w:val="PreambelText"/>
        <w:spacing w:before="240" w:after="240"/>
        <w:rPr>
          <w:lang w:val="el" w:eastAsia="el"/>
        </w:rPr>
      </w:pPr>
      <w:r>
        <w:rPr>
          <w:b/>
          <w:bCs/>
          <w:lang w:val="el" w:eastAsia="el"/>
        </w:rPr>
        <w:t xml:space="preserve">Α) </w:t>
      </w:r>
      <w:r>
        <w:rPr>
          <w:lang w:val="el" w:eastAsia="el"/>
        </w:rPr>
        <w:t>επικαιροποιούνται οι όροι που συμπληρώνουν το χαρακτηρισμό ενός τροφίμου ως ΜΗ ΚΑΝΟΝΙΚΟ. Συγκεκριμένα, εισάγεται στο άρθρο 18 ο όρος «ΜΗ ΑΣΦΑΛΕΣ» στη γνωμάτευση για τον χαρακτηρισμό τροφίμων για τα οποία κρίνεται ότι υπάρχει θέμα ασφάλειας υπό την έννοια του άρθρου 14 του κανονισμού (ΕΚ) 178/2002.</w:t>
      </w:r>
    </w:p>
    <w:p>
      <w:pPr>
        <w:pStyle w:val="PreambelText"/>
        <w:spacing w:before="240" w:after="240"/>
        <w:rPr>
          <w:lang w:val="el" w:eastAsia="el"/>
        </w:rPr>
      </w:pPr>
      <w:r>
        <w:rPr>
          <w:lang w:val="el" w:eastAsia="el"/>
        </w:rPr>
        <w:t>2</w:t>
      </w:r>
    </w:p>
    <w:p>
      <w:pPr>
        <w:pStyle w:val="PreambelText"/>
        <w:spacing w:before="240" w:after="240"/>
        <w:rPr>
          <w:lang w:val="el" w:eastAsia="el"/>
        </w:rPr>
      </w:pPr>
      <w:r>
        <w:rPr>
          <w:lang w:val="el" w:eastAsia="el"/>
        </w:rPr>
        <w:t>Αντίστοιχα, καταργούνται όροι που δε χρησιμοποιούνται πλέον στην εθνική και ενωσιακή νομοθεσία.</w:t>
      </w:r>
    </w:p>
    <w:p>
      <w:pPr>
        <w:pStyle w:val="PreambelText"/>
        <w:spacing w:before="240" w:after="240"/>
        <w:rPr>
          <w:lang w:val="el" w:eastAsia="el"/>
        </w:rPr>
      </w:pPr>
      <w:r>
        <w:rPr>
          <w:lang w:val="el" w:eastAsia="el"/>
        </w:rPr>
        <w:t>Σημειώνεται ότι, οι Υπηρεσίες του Γενικού Χημείου του Κράτους (ΓΧΚ) που εκτελούν εργαστηριακές αναλύσεις στο πλαίσιο του επισήμου ελέγχου των τροφίμων, χρησιμοποιούν ήδη τον όρο ΜΗ ΑΣΦΑΛΕΣ στη γνωμάτευση για τον χαρακτηρισμό τροφίμων που δεν είναι σύμφωνα με ειδικές κοινοτικές ή εθνικές διατάξεις ασφάλειας, σύμφωνα με έγγραφο που τους είχε αποστείλει η Δ/νση Τροφίμων για την εφαρμογή του άρθρου 14 του κανονισμού (ΕΚ) 178/2002.</w:t>
      </w:r>
    </w:p>
    <w:p>
      <w:pPr>
        <w:pStyle w:val="PreambelText"/>
        <w:spacing w:before="240" w:after="240"/>
        <w:rPr>
          <w:lang w:val="el" w:eastAsia="el"/>
        </w:rPr>
      </w:pPr>
      <w:r>
        <w:rPr>
          <w:b/>
          <w:bCs/>
          <w:lang w:val="el" w:eastAsia="el"/>
        </w:rPr>
        <w:t xml:space="preserve">Β) </w:t>
      </w:r>
      <w:r>
        <w:rPr>
          <w:lang w:val="el" w:eastAsia="el"/>
        </w:rPr>
        <w:t xml:space="preserve">για τις περιπτώσεις που τα τρόφιμα χαρακτηρίζονται ως ΜΗ ΑΣΦΑΛΗ, το ΑΧΣ αποφαίνεται για το χαρακτηρισμό τους ως </w:t>
      </w:r>
      <w:r>
        <w:rPr>
          <w:b/>
          <w:bCs/>
          <w:u w:val="single"/>
          <w:lang w:val="el" w:eastAsia="el"/>
        </w:rPr>
        <w:t>επιβλαβή για την υγεία</w:t>
      </w:r>
      <w:r>
        <w:rPr>
          <w:b/>
          <w:bCs/>
          <w:lang w:val="el" w:eastAsia="el"/>
        </w:rPr>
        <w:t xml:space="preserve"> ή </w:t>
      </w:r>
      <w:r>
        <w:rPr>
          <w:b/>
          <w:bCs/>
          <w:u w:val="single"/>
          <w:lang w:val="el" w:eastAsia="el"/>
        </w:rPr>
        <w:t>ακατάλληλα για ανθρώπινη κατανάλωση</w:t>
      </w:r>
      <w:r>
        <w:rPr>
          <w:b/>
          <w:bCs/>
          <w:lang w:val="el" w:eastAsia="el"/>
        </w:rPr>
        <w:t>και όχι για την επικινδυνότητα για τη Δημόσια Υγεία, όπως ίσχυε έως τώρα.</w:t>
      </w:r>
    </w:p>
    <w:p>
      <w:pPr>
        <w:pStyle w:val="PreambelText"/>
        <w:spacing w:before="240" w:after="240"/>
        <w:rPr>
          <w:lang w:val="el" w:eastAsia="el"/>
        </w:rPr>
      </w:pPr>
      <w:r>
        <w:rPr>
          <w:b/>
          <w:bCs/>
          <w:lang w:val="el" w:eastAsia="el"/>
        </w:rPr>
        <w:t>Η παραπομπή της υπόθεσης στο ΑΧΣ θα γίνεται με τη διαδικασία του επείγοντος προκειμένου να αποστέλλεται ταχέως στις αρχές η τελική γνωμάτευση για την ασφάλεια του τροφίμου.</w:t>
      </w:r>
    </w:p>
    <w:p>
      <w:pPr>
        <w:pStyle w:val="PreambelText"/>
        <w:spacing w:before="240" w:after="240"/>
        <w:rPr>
          <w:lang w:val="el" w:eastAsia="el"/>
        </w:rPr>
      </w:pPr>
      <w:r>
        <w:rPr>
          <w:b/>
          <w:bCs/>
          <w:lang w:val="el" w:eastAsia="el"/>
        </w:rPr>
        <w:t xml:space="preserve">Γ) </w:t>
      </w:r>
      <w:r>
        <w:rPr>
          <w:b/>
          <w:bCs/>
          <w:lang w:val="el" w:eastAsia="el"/>
        </w:rPr>
        <w:t>κατ’ αντιστοιχία με τα ανωτέρω, τροποποιείται το άρθρο 29. Υπενθυμίζεται ότι το άρθρο 29 που αναφέρεται στους γενικούς όρους χρήσης προσθέτων δεν ισχύει στο σύνολό του και επίκειται η αντικατάστασή του, εφόσον αποτελεί εθνικό μέτρο εναρμόνισης της οδηγίας 89/107/ΕΟΚ, η οποία έχει καταργηθεί. Οι όροι χρήσης προσθέτων τροφίμων, καθώς και η διαδικασία έγκρισης αυτών, περιγράφονται στους κανονισμούς (ΕΚ) 1333/2008 και 1331/2008, αντίστοιχα.</w:t>
      </w:r>
    </w:p>
    <w:p>
      <w:pPr>
        <w:pStyle w:val="PreambelText"/>
        <w:spacing w:before="240" w:after="240"/>
        <w:rPr>
          <w:lang w:val="el" w:eastAsia="el"/>
        </w:rPr>
      </w:pPr>
      <w:r>
        <w:rPr>
          <w:b/>
          <w:bCs/>
          <w:lang w:val="el" w:eastAsia="el"/>
        </w:rPr>
        <w:t xml:space="preserve">Η ισχύς της παρούσας απόφασης αρχίζει από τη δημοσίευσή της στην Εφημερίδα της Κυβερνήσεως, δηλ. από τις </w:t>
      </w:r>
      <w:r>
        <w:rPr>
          <w:b/>
          <w:bCs/>
          <w:lang w:val="el" w:eastAsia="el"/>
        </w:rPr>
        <w:t>4/1/2012</w:t>
      </w:r>
      <w:r>
        <w:rPr>
          <w:b/>
          <w:bCs/>
          <w:lang w:val="el" w:eastAsia="el"/>
        </w:rPr>
        <w:t>.</w:t>
      </w:r>
    </w:p>
    <w:p>
      <w:pPr>
        <w:pStyle w:val="PreambelText"/>
        <w:spacing w:before="240" w:after="240"/>
        <w:rPr>
          <w:lang w:val="el" w:eastAsia="el"/>
        </w:rPr>
      </w:pPr>
      <w:r>
        <w:rPr>
          <w:b/>
          <w:bCs/>
          <w:lang w:val="el" w:eastAsia="el"/>
        </w:rPr>
        <w:t xml:space="preserve">Σας υπενθυμίζουμε ότι ο Κώδικας Τροφίμων και Ποτών έχει αναρτηθεί στην ιστοσελίδα του ΓΧΚ </w:t>
      </w:r>
      <w:r>
        <w:rPr>
          <w:b/>
          <w:bCs/>
          <w:lang w:val="el" w:eastAsia="el"/>
        </w:rPr>
        <w:t>(</w:t>
      </w:r>
      <w:hyperlink r:id="rId5" w:history="1">
        <w:r>
          <w:rPr>
            <w:rStyle w:val="Hyperlink"/>
            <w:b/>
            <w:bCs/>
            <w:color w:val="0000EE"/>
            <w:u w:color="0000EE"/>
            <w:lang w:val="el" w:eastAsia="el"/>
          </w:rPr>
          <w:t>www.gcsl.gr</w:t>
        </w:r>
      </w:hyperlink>
      <w:r>
        <w:rPr>
          <w:b/>
          <w:bCs/>
          <w:lang w:val="el" w:eastAsia="el"/>
        </w:rPr>
        <w:t>, στη διαδρομή ΔΙΕΥΘΥΝΣΕΙΣ → ΔΙΕΥΘΥΝΣΗ ΤΡΟΦΙΜΩΝ → Κώδικας Τροφίμων και Ποτών → Κώδικας Τροφίμων και Ποτών – έκδοση 2009 → Άρθρα ΚΤΠ – Ισχύουσες εκδόσεις → Ισχύουσες εκδόσεις των άρθρων του ΚΤΠ).</w:t>
      </w:r>
    </w:p>
    <w:p>
      <w:pPr>
        <w:pStyle w:val="PreambelText"/>
        <w:spacing w:before="240" w:after="240"/>
        <w:rPr>
          <w:lang w:val="el" w:eastAsia="el"/>
        </w:rPr>
      </w:pPr>
      <w:r>
        <w:rPr>
          <w:b/>
          <w:bCs/>
          <w:lang w:val="el" w:eastAsia="el"/>
        </w:rPr>
        <w:t>Στις Υπηρεσίες του ΓΧΚ, για τη διευκόλυνση της ενημέρωσης του ΚΤΠ, αποστέλλεται συνημμένα σε ηλεκτρονική μορφή η τελευταία έκδοση (έκδοση 7) του Φύλλου Τροποποιήσεων. Οι ισχύουσες εκδόσεις των άρθρων 3, 18 και 29 του ΚΤΠ, έχουν αναρτηθεί στο υποσύστημα ΟΠΣ: Νομοθεσία / Κώδικας Τροφίμων.</w:t>
      </w:r>
    </w:p>
    <w:p>
      <w:pPr>
        <w:pStyle w:val="PreambelText"/>
        <w:spacing w:before="240" w:after="240"/>
        <w:rPr>
          <w:lang w:val="el" w:eastAsia="el"/>
        </w:rPr>
      </w:pPr>
      <w:r>
        <w:rPr>
          <w:b/>
          <w:bCs/>
          <w:lang w:val="el" w:eastAsia="el"/>
        </w:rPr>
        <w:t xml:space="preserve">Σας ενημερώνουμε ότι η εγκύκλιος αυτή έχει αναρτηθεί στην ιστοσελίδα του ΓΧΚ </w:t>
      </w:r>
      <w:r>
        <w:rPr>
          <w:b/>
          <w:bCs/>
          <w:lang w:val="el" w:eastAsia="el"/>
        </w:rPr>
        <w:t>(</w:t>
      </w:r>
      <w:hyperlink r:id="rId6" w:history="1">
        <w:r>
          <w:rPr>
            <w:rStyle w:val="Hyperlink"/>
            <w:b/>
            <w:bCs/>
            <w:color w:val="0000EE"/>
            <w:u w:color="0000EE"/>
            <w:lang w:val="el" w:eastAsia="el"/>
          </w:rPr>
          <w:t>www.gcsl.gr</w:t>
        </w:r>
      </w:hyperlink>
      <w:r>
        <w:rPr>
          <w:b/>
          <w:bCs/>
          <w:lang w:val="el" w:eastAsia="el"/>
        </w:rPr>
        <w:t>, στη διαδρομή ΔΙΕΥΘΥΝΣΕΙΣ → ΔΙΕΥΘΥΝΣΗ ΤΡΟΦΙΜΩΝ → 3</w:t>
      </w:r>
    </w:p>
    <w:p>
      <w:pPr>
        <w:pStyle w:val="PreambelText"/>
        <w:spacing w:before="240" w:after="240"/>
        <w:rPr>
          <w:lang w:val="el" w:eastAsia="el"/>
        </w:rPr>
      </w:pPr>
      <w:r>
        <w:rPr>
          <w:b/>
          <w:bCs/>
          <w:lang w:val="el" w:eastAsia="el"/>
        </w:rPr>
        <w:t>Κώδικας Τροφίμων και Ποτών → Κώδικας Τροφίμων και Ποτών – έκδοση 2009 → Τροποποιήσεις ΚΤΠ μετά την έκδοση 2009).</w:t>
      </w:r>
    </w:p>
    <w:p>
      <w:pPr>
        <w:pStyle w:val="PreambelText"/>
        <w:spacing w:before="240" w:after="240"/>
        <w:rPr>
          <w:lang w:val="el" w:eastAsia="el"/>
        </w:rPr>
      </w:pPr>
      <w:r>
        <w:rPr>
          <w:b/>
          <w:bCs/>
          <w:lang w:val="el" w:eastAsia="el"/>
        </w:rPr>
        <w:t>Ο Προϊστάμενος της Δ/νσης κ.α.α.</w:t>
      </w:r>
    </w:p>
    <w:p>
      <w:pPr>
        <w:pStyle w:val="PreambelText"/>
        <w:spacing w:before="240" w:after="240"/>
        <w:rPr>
          <w:lang w:val="el" w:eastAsia="el"/>
        </w:rPr>
      </w:pPr>
      <w:r>
        <w:rPr>
          <w:b/>
          <w:bCs/>
          <w:lang w:val="el" w:eastAsia="el"/>
        </w:rPr>
        <w:t>Ι. Γαρδίκης</w:t>
      </w:r>
    </w:p>
    <w:p>
      <w:pPr>
        <w:pStyle w:val="PreambelText"/>
        <w:spacing w:before="240" w:after="240"/>
        <w:rPr>
          <w:lang w:val="el" w:eastAsia="el"/>
        </w:rPr>
      </w:pPr>
      <w:r>
        <w:rPr>
          <w:b/>
          <w:bCs/>
          <w:u w:val="single"/>
          <w:lang w:val="el" w:eastAsia="el"/>
        </w:rPr>
        <w:t>Πίνακας Αποδεκτών</w:t>
      </w:r>
    </w:p>
    <w:p>
      <w:pPr>
        <w:pStyle w:val="PreambelText"/>
        <w:spacing w:before="240" w:after="240"/>
        <w:rPr>
          <w:lang w:val="el" w:eastAsia="el"/>
        </w:rPr>
      </w:pPr>
      <w:r>
        <w:rPr>
          <w:b/>
          <w:bCs/>
          <w:lang w:val="el" w:eastAsia="el"/>
        </w:rPr>
        <w:t xml:space="preserve">1) </w:t>
      </w:r>
      <w:r>
        <w:rPr>
          <w:b/>
          <w:bCs/>
          <w:lang w:val="el" w:eastAsia="el"/>
        </w:rPr>
        <w:t>Υπουργείο Οικονομικών</w:t>
      </w:r>
    </w:p>
    <w:p>
      <w:pPr>
        <w:pStyle w:val="PreambelText"/>
        <w:spacing w:before="240" w:after="240"/>
        <w:rPr>
          <w:lang w:val="el" w:eastAsia="el"/>
        </w:rPr>
      </w:pPr>
      <w:r>
        <w:rPr>
          <w:b/>
          <w:bCs/>
          <w:lang w:val="el" w:eastAsia="el"/>
        </w:rPr>
        <w:t xml:space="preserve">α ) </w:t>
      </w:r>
      <w:r>
        <w:rPr>
          <w:b/>
          <w:bCs/>
          <w:u w:val="single"/>
          <w:lang w:val="el" w:eastAsia="el"/>
        </w:rPr>
        <w:t>Γενικό Χημείο του Κράτους</w:t>
      </w:r>
    </w:p>
    <w:p>
      <w:pPr>
        <w:pStyle w:val="StructureList1"/>
        <w:spacing w:before="120" w:after="0"/>
        <w:rPr>
          <w:lang w:val="el" w:eastAsia="el"/>
        </w:rPr>
      </w:pPr>
      <w:r>
        <w:rPr>
          <w:b/>
          <w:bCs/>
          <w:lang w:val="el" w:eastAsia="el"/>
        </w:rPr>
        <w:t>-</w:t>
      </w:r>
      <w:r>
        <w:rPr>
          <w:b/>
          <w:bCs/>
          <w:lang w:val="en" w:eastAsia="en"/>
        </w:rPr>
        <w:tab/>
      </w:r>
      <w:r>
        <w:rPr>
          <w:b/>
          <w:bCs/>
          <w:lang w:val="el" w:eastAsia="el"/>
        </w:rPr>
        <w:t>Χημικές Υπηρεσίες Γ.Χ.Κ.</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Τεχνικό προσωπικό Γ.Χ.Κ. </w:t>
      </w:r>
      <w:r>
        <w:rPr>
          <w:b/>
          <w:bCs/>
          <w:u w:val="single"/>
          <w:lang w:val="el" w:eastAsia="el"/>
        </w:rPr>
        <w:t>μέσω των Δ/νσεών τους</w:t>
      </w:r>
    </w:p>
    <w:p>
      <w:pPr>
        <w:pStyle w:val="StructureList1"/>
        <w:spacing w:before="120" w:after="0"/>
        <w:rPr>
          <w:lang w:val="el" w:eastAsia="el"/>
        </w:rPr>
      </w:pPr>
      <w:r>
        <w:rPr>
          <w:b/>
          <w:bCs/>
          <w:lang w:val="el" w:eastAsia="el"/>
        </w:rPr>
        <w:t>β)</w:t>
      </w:r>
      <w:r>
        <w:rPr>
          <w:b/>
          <w:bCs/>
          <w:lang w:val="en" w:eastAsia="en"/>
        </w:rPr>
        <w:tab/>
      </w:r>
      <w:r>
        <w:rPr>
          <w:b/>
          <w:bCs/>
          <w:u w:val="single"/>
          <w:lang w:val="el" w:eastAsia="el"/>
        </w:rPr>
        <w:t>Γενική Διεύθυνση Οικονομικής Επιθεώρησης</w:t>
      </w:r>
    </w:p>
    <w:p>
      <w:pPr>
        <w:pStyle w:val="StructureList1"/>
        <w:spacing w:before="120" w:after="0"/>
        <w:rPr>
          <w:lang w:val="el" w:eastAsia="el"/>
        </w:rPr>
      </w:pPr>
      <w:r>
        <w:rPr>
          <w:b/>
          <w:bCs/>
          <w:lang w:val="el" w:eastAsia="el"/>
        </w:rPr>
        <w:t>-</w:t>
      </w:r>
      <w:r>
        <w:rPr>
          <w:b/>
          <w:bCs/>
          <w:lang w:val="en" w:eastAsia="en"/>
        </w:rPr>
        <w:tab/>
      </w:r>
      <w:r>
        <w:rPr>
          <w:b/>
          <w:bCs/>
          <w:lang w:val="el" w:eastAsia="el"/>
        </w:rPr>
        <w:t>Οικονομική Επιθεώρηση Αθηνών</w:t>
      </w:r>
      <w:r>
        <w:rPr>
          <w:b/>
          <w:bCs/>
          <w:u w:val="single"/>
          <w:lang w:val="el" w:eastAsia="el"/>
        </w:rPr>
        <w:t xml:space="preserve">, </w:t>
      </w:r>
      <w:hyperlink r:id="rId7" w:history="1">
        <w:r>
          <w:rPr>
            <w:rStyle w:val="Hyperlink"/>
            <w:b/>
            <w:bCs/>
            <w:color w:val="0000EE"/>
            <w:u w:color="0000EE"/>
            <w:lang w:val="el" w:eastAsia="el"/>
          </w:rPr>
          <w:t>sp.bolkas@1990.syzefxis.gov.gr</w:t>
        </w:r>
      </w:hyperlink>
    </w:p>
    <w:p>
      <w:pPr>
        <w:pStyle w:val="StructureList1"/>
        <w:spacing w:before="120" w:after="0"/>
        <w:rPr>
          <w:lang w:val="el" w:eastAsia="el"/>
        </w:rPr>
      </w:pPr>
      <w:r>
        <w:rPr>
          <w:b/>
          <w:bCs/>
          <w:lang w:val="el" w:eastAsia="el"/>
        </w:rPr>
        <w:t>-</w:t>
      </w:r>
      <w:r>
        <w:rPr>
          <w:b/>
          <w:bCs/>
          <w:lang w:val="en" w:eastAsia="en"/>
        </w:rPr>
        <w:tab/>
      </w:r>
      <w:r>
        <w:rPr>
          <w:b/>
          <w:bCs/>
          <w:lang w:val="el" w:eastAsia="el"/>
        </w:rPr>
        <w:t>Οικονομική Επιθεώρηση Θεσσαλονίκης</w:t>
      </w:r>
      <w:r>
        <w:rPr>
          <w:b/>
          <w:bCs/>
          <w:u w:val="single"/>
          <w:lang w:val="el" w:eastAsia="el"/>
        </w:rPr>
        <w:t xml:space="preserve">, </w:t>
      </w:r>
      <w:hyperlink r:id="rId8" w:history="1">
        <w:r>
          <w:rPr>
            <w:rStyle w:val="Hyperlink"/>
            <w:b/>
            <w:bCs/>
            <w:color w:val="0000EE"/>
            <w:u w:color="0000EE"/>
            <w:lang w:val="el" w:eastAsia="el"/>
          </w:rPr>
          <w:t>oikepith.thessalonikis@n3.syzefxis.gov.gr</w:t>
        </w:r>
      </w:hyperlink>
    </w:p>
    <w:p>
      <w:pPr>
        <w:pStyle w:val="PreambelText"/>
        <w:spacing w:before="240" w:after="240"/>
        <w:rPr>
          <w:lang w:val="el" w:eastAsia="el"/>
        </w:rPr>
      </w:pPr>
      <w:r>
        <w:rPr>
          <w:b/>
          <w:bCs/>
          <w:lang w:val="el" w:eastAsia="el"/>
        </w:rPr>
        <w:t xml:space="preserve">2) </w:t>
      </w:r>
      <w:r>
        <w:rPr>
          <w:b/>
          <w:bCs/>
          <w:lang w:val="el" w:eastAsia="el"/>
        </w:rPr>
        <w:t>Υπουργείο Υγείας και Κοινωνικής Αλληλεγγύης</w:t>
      </w:r>
    </w:p>
    <w:p>
      <w:pPr>
        <w:pStyle w:val="PreambelText"/>
        <w:spacing w:before="240" w:after="240"/>
        <w:rPr>
          <w:lang w:val="el" w:eastAsia="el"/>
        </w:rPr>
      </w:pPr>
      <w:r>
        <w:rPr>
          <w:b/>
          <w:bCs/>
          <w:u w:val="single"/>
          <w:lang w:val="el" w:eastAsia="el"/>
        </w:rPr>
        <w:t>Ε.Φ.Ε.Τ.</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Γραφείο Προέδρου </w:t>
      </w:r>
      <w:hyperlink r:id="rId9" w:history="1">
        <w:r>
          <w:rPr>
            <w:rStyle w:val="Hyperlink"/>
            <w:b/>
            <w:bCs/>
            <w:color w:val="0000EE"/>
            <w:u w:color="0000EE"/>
            <w:lang w:val="el" w:eastAsia="el"/>
          </w:rPr>
          <w:t>info@efet.gr</w:t>
        </w:r>
      </w:hyperlink>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Δ/νση Εργαστηριακών Ελέγχων, </w:t>
      </w:r>
      <w:hyperlink r:id="rId10" w:history="1">
        <w:r>
          <w:rPr>
            <w:rStyle w:val="Hyperlink"/>
            <w:b/>
            <w:bCs/>
            <w:color w:val="0000EE"/>
            <w:u w:color="0000EE"/>
            <w:lang w:val="el" w:eastAsia="el"/>
          </w:rPr>
          <w:t>kbarberis@efet.gr</w:t>
        </w:r>
      </w:hyperlink>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Δ/νση Διατροφικής Πολιτικής και Ερευνών, </w:t>
      </w:r>
      <w:hyperlink r:id="rId11" w:history="1">
        <w:r>
          <w:rPr>
            <w:rStyle w:val="Hyperlink"/>
            <w:b/>
            <w:bCs/>
            <w:color w:val="0000EE"/>
            <w:u w:color="0000EE"/>
            <w:lang w:val="el" w:eastAsia="el"/>
          </w:rPr>
          <w:t>etsigarida@efet.gr</w:t>
        </w:r>
      </w:hyperlink>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Δ/νση Αξιολόγησης Εγκρίσεων, </w:t>
      </w:r>
      <w:hyperlink r:id="rId12" w:history="1">
        <w:r>
          <w:rPr>
            <w:rStyle w:val="Hyperlink"/>
            <w:b/>
            <w:bCs/>
            <w:color w:val="0000EE"/>
            <w:u w:color="0000EE"/>
            <w:lang w:val="el" w:eastAsia="el"/>
          </w:rPr>
          <w:t>vkrestos@efet.gr</w:t>
        </w:r>
      </w:hyperlink>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Δ/νση Ελέγχου Επιχειρήσεων, </w:t>
      </w:r>
      <w:hyperlink r:id="rId13" w:history="1">
        <w:r>
          <w:rPr>
            <w:rStyle w:val="Hyperlink"/>
            <w:b/>
            <w:bCs/>
            <w:color w:val="0000EE"/>
            <w:u w:color="0000EE"/>
            <w:lang w:val="el" w:eastAsia="el"/>
          </w:rPr>
          <w:t>dpanteleaki@efet.gr</w:t>
        </w:r>
      </w:hyperlink>
    </w:p>
    <w:p>
      <w:pPr>
        <w:pStyle w:val="PreambelText"/>
        <w:spacing w:before="240" w:after="240"/>
        <w:rPr>
          <w:lang w:val="el" w:eastAsia="el"/>
        </w:rPr>
      </w:pPr>
      <w:r>
        <w:rPr>
          <w:b/>
          <w:bCs/>
          <w:lang w:val="el" w:eastAsia="el"/>
        </w:rPr>
        <w:t xml:space="preserve">3) </w:t>
      </w:r>
      <w:r>
        <w:rPr>
          <w:b/>
          <w:bCs/>
          <w:lang w:val="el" w:eastAsia="el"/>
        </w:rPr>
        <w:t>Υπουργείο Αγροτικής Ανάπτυξης &amp; Τροφίμων</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Δ/νση Μεταποίησης Τυποποίησης &amp; Ποιοτικού Ελέγχου</w:t>
      </w:r>
    </w:p>
    <w:p>
      <w:pPr>
        <w:pStyle w:val="PreambelText"/>
        <w:spacing w:before="240" w:after="240"/>
        <w:rPr>
          <w:lang w:val="el" w:eastAsia="el"/>
        </w:rPr>
      </w:pPr>
      <w:r>
        <w:rPr>
          <w:b/>
          <w:bCs/>
          <w:lang w:val="el" w:eastAsia="el"/>
        </w:rPr>
        <w:t>Προϊόντων Φυτικής Παραγωγής</w:t>
      </w:r>
    </w:p>
    <w:p>
      <w:pPr>
        <w:pStyle w:val="PreambelText"/>
        <w:spacing w:before="240" w:after="240"/>
        <w:rPr>
          <w:lang w:val="el" w:eastAsia="el"/>
        </w:rPr>
      </w:pPr>
      <w:hyperlink r:id="rId14" w:history="1">
        <w:r>
          <w:rPr>
            <w:rStyle w:val="Hyperlink"/>
            <w:b/>
            <w:bCs/>
            <w:color w:val="0000EE"/>
            <w:u w:color="0000EE"/>
            <w:lang w:val="el" w:eastAsia="el"/>
          </w:rPr>
          <w:t>ax2u141@minagric.gr</w:t>
        </w:r>
      </w:hyperlink>
    </w:p>
    <w:p>
      <w:pPr>
        <w:pStyle w:val="StructureList1"/>
        <w:spacing w:before="120" w:after="0"/>
        <w:rPr>
          <w:lang w:val="el" w:eastAsia="el"/>
        </w:rPr>
      </w:pPr>
      <w:r>
        <w:rPr>
          <w:b/>
          <w:bCs/>
          <w:lang w:val="el" w:eastAsia="el"/>
        </w:rPr>
        <w:t>β)</w:t>
      </w:r>
      <w:r>
        <w:rPr>
          <w:b/>
          <w:bCs/>
          <w:lang w:val="en" w:eastAsia="en"/>
        </w:rPr>
        <w:tab/>
      </w:r>
      <w:r>
        <w:rPr>
          <w:b/>
          <w:bCs/>
          <w:u w:val="single"/>
          <w:lang w:val="el" w:eastAsia="el"/>
        </w:rPr>
        <w:t>Γεν. Δ/νση Ζωικής Παραγωγής</w:t>
      </w:r>
    </w:p>
    <w:p>
      <w:pPr>
        <w:pStyle w:val="PreambelText"/>
        <w:spacing w:before="240" w:after="240"/>
        <w:rPr>
          <w:lang w:val="el" w:eastAsia="el"/>
        </w:rPr>
      </w:pPr>
      <w:r>
        <w:rPr>
          <w:b/>
          <w:bCs/>
          <w:lang w:val="el" w:eastAsia="el"/>
        </w:rPr>
        <w:t>Δ/νση Ζωικής Παραγωγής &amp; ΑΠΑ</w:t>
      </w:r>
    </w:p>
    <w:p>
      <w:pPr>
        <w:pStyle w:val="PreambelText"/>
        <w:spacing w:before="240" w:after="240"/>
        <w:rPr>
          <w:lang w:val="el" w:eastAsia="el"/>
        </w:rPr>
      </w:pPr>
      <w:hyperlink r:id="rId15" w:history="1">
        <w:r>
          <w:rPr>
            <w:rStyle w:val="Hyperlink"/>
            <w:b/>
            <w:bCs/>
            <w:color w:val="0000EE"/>
            <w:u w:color="0000EE"/>
            <w:lang w:val="el" w:eastAsia="el"/>
          </w:rPr>
          <w:t>ve46u064@minagric.gr</w:t>
        </w:r>
      </w:hyperlink>
    </w:p>
    <w:p>
      <w:pPr>
        <w:pStyle w:val="StructureList1"/>
        <w:spacing w:before="120" w:after="0"/>
        <w:rPr>
          <w:lang w:val="el" w:eastAsia="el"/>
        </w:rPr>
      </w:pPr>
      <w:r>
        <w:rPr>
          <w:b/>
          <w:bCs/>
          <w:lang w:val="el" w:eastAsia="el"/>
        </w:rPr>
        <w:t>γ)</w:t>
      </w:r>
      <w:r>
        <w:rPr>
          <w:b/>
          <w:bCs/>
          <w:lang w:val="en" w:eastAsia="en"/>
        </w:rPr>
        <w:tab/>
      </w:r>
      <w:r>
        <w:rPr>
          <w:b/>
          <w:bCs/>
          <w:u w:val="single"/>
          <w:lang w:val="el" w:eastAsia="el"/>
        </w:rPr>
        <w:t>Γεν. Δ/νση Κτηνιατρικής</w:t>
      </w:r>
    </w:p>
    <w:p>
      <w:pPr>
        <w:pStyle w:val="PreambelText"/>
        <w:spacing w:before="240" w:after="240"/>
        <w:rPr>
          <w:lang w:val="el" w:eastAsia="el"/>
        </w:rPr>
      </w:pPr>
      <w:hyperlink r:id="rId16" w:history="1">
        <w:r>
          <w:rPr>
            <w:rStyle w:val="Hyperlink"/>
            <w:b/>
            <w:bCs/>
            <w:color w:val="0000EE"/>
            <w:u w:color="0000EE"/>
            <w:lang w:val="el" w:eastAsia="el"/>
          </w:rPr>
          <w:t>ka6u004@minagric.gr</w:t>
        </w:r>
      </w:hyperlink>
    </w:p>
    <w:p>
      <w:pPr>
        <w:pStyle w:val="StructureList1"/>
        <w:spacing w:before="120" w:after="0"/>
        <w:rPr>
          <w:lang w:val="el" w:eastAsia="el"/>
        </w:rPr>
      </w:pPr>
      <w:r>
        <w:rPr>
          <w:b/>
          <w:bCs/>
          <w:lang w:val="el" w:eastAsia="el"/>
        </w:rPr>
        <w:t>δ)</w:t>
      </w:r>
      <w:r>
        <w:rPr>
          <w:b/>
          <w:bCs/>
          <w:lang w:val="en" w:eastAsia="en"/>
        </w:rPr>
        <w:tab/>
      </w:r>
      <w:r>
        <w:rPr>
          <w:b/>
          <w:bCs/>
          <w:u w:val="single"/>
          <w:lang w:val="el" w:eastAsia="el"/>
        </w:rPr>
        <w:t xml:space="preserve">ΟΠΕΚΕΠΕ </w:t>
      </w:r>
      <w:r>
        <w:rPr>
          <w:b/>
          <w:bCs/>
          <w:lang w:val="el" w:eastAsia="el"/>
        </w:rPr>
        <w:t xml:space="preserve">- Δ/νση Μηχανισμών Αγοράς, Τμήμα Αγοράς </w:t>
      </w:r>
      <w:hyperlink r:id="rId17" w:history="1">
        <w:r>
          <w:rPr>
            <w:rStyle w:val="Hyperlink"/>
            <w:b/>
            <w:bCs/>
            <w:color w:val="0000EE"/>
            <w:u w:color="0000EE"/>
            <w:lang w:val="el" w:eastAsia="el"/>
          </w:rPr>
          <w:t>maria.katsenou@opekepe.gr</w:t>
        </w:r>
      </w:hyperlink>
    </w:p>
    <w:p>
      <w:pPr>
        <w:pStyle w:val="PreambelText"/>
        <w:spacing w:before="240" w:after="240"/>
        <w:rPr>
          <w:lang w:val="el" w:eastAsia="el"/>
        </w:rPr>
      </w:pPr>
      <w:r>
        <w:rPr>
          <w:b/>
          <w:bCs/>
          <w:lang w:val="el" w:eastAsia="el"/>
        </w:rPr>
        <w:t xml:space="preserve">4) </w:t>
      </w:r>
      <w:r>
        <w:rPr>
          <w:b/>
          <w:bCs/>
          <w:lang w:val="el" w:eastAsia="el"/>
        </w:rPr>
        <w:t>Υπουργείο Ανάπτυξης, Ανταγωνιστικότητας και Ναυτιλίας</w:t>
      </w:r>
    </w:p>
    <w:p>
      <w:pPr>
        <w:pStyle w:val="PreambelText"/>
        <w:spacing w:before="240" w:after="240"/>
        <w:rPr>
          <w:lang w:val="el" w:eastAsia="el"/>
        </w:rPr>
      </w:pPr>
      <w:r>
        <w:rPr>
          <w:b/>
          <w:bCs/>
          <w:u w:val="single"/>
          <w:lang w:val="el" w:eastAsia="el"/>
        </w:rPr>
        <w:t>Γενική Γραμματεία Εμπορίου</w:t>
      </w:r>
      <w:r>
        <w:rPr>
          <w:b/>
          <w:bCs/>
          <w:lang w:val="el" w:eastAsia="el"/>
        </w:rPr>
        <w:t xml:space="preserve">, </w:t>
      </w:r>
      <w:hyperlink r:id="rId18" w:history="1">
        <w:r>
          <w:rPr>
            <w:rStyle w:val="Hyperlink"/>
            <w:b/>
            <w:bCs/>
            <w:color w:val="0000EE"/>
            <w:u w:color="0000EE"/>
            <w:lang w:val="el" w:eastAsia="el"/>
          </w:rPr>
          <w:t>gge@gge.gr</w:t>
        </w:r>
      </w:hyperlink>
    </w:p>
    <w:p>
      <w:pPr>
        <w:pStyle w:val="PreambelText"/>
        <w:spacing w:before="240" w:after="240"/>
        <w:rPr>
          <w:lang w:val="el" w:eastAsia="el"/>
        </w:rPr>
      </w:pPr>
      <w:r>
        <w:rPr>
          <w:b/>
          <w:bCs/>
          <w:lang w:val="el" w:eastAsia="el"/>
        </w:rPr>
        <w:t>4</w:t>
      </w:r>
    </w:p>
    <w:p>
      <w:pPr>
        <w:pStyle w:val="PreambelText"/>
        <w:spacing w:before="240" w:after="240"/>
        <w:rPr>
          <w:lang w:val="el" w:eastAsia="el"/>
        </w:rPr>
      </w:pPr>
      <w:r>
        <w:rPr>
          <w:b/>
          <w:bCs/>
          <w:lang w:val="el" w:eastAsia="el"/>
        </w:rPr>
        <w:t xml:space="preserve">5) </w:t>
      </w:r>
      <w:r>
        <w:rPr>
          <w:b/>
          <w:bCs/>
          <w:lang w:val="el" w:eastAsia="el"/>
        </w:rPr>
        <w:t>Υπουργείο Εργασίας και Κοινωνικής Ασφάλισης</w:t>
      </w:r>
    </w:p>
    <w:p>
      <w:pPr>
        <w:pStyle w:val="PreambelText"/>
        <w:spacing w:before="240" w:after="240"/>
        <w:rPr>
          <w:lang w:val="el" w:eastAsia="el"/>
        </w:rPr>
      </w:pPr>
      <w:r>
        <w:rPr>
          <w:b/>
          <w:bCs/>
          <w:u w:val="single"/>
          <w:lang w:val="el" w:eastAsia="el"/>
        </w:rPr>
        <w:t>Γενική Γραμματεία Καταναλωτή</w:t>
      </w:r>
    </w:p>
    <w:p>
      <w:pPr>
        <w:pStyle w:val="PreambelText"/>
        <w:spacing w:before="240" w:after="240"/>
        <w:rPr>
          <w:lang w:val="el" w:eastAsia="el"/>
        </w:rPr>
      </w:pPr>
      <w:r>
        <w:rPr>
          <w:b/>
          <w:bCs/>
          <w:lang w:val="el" w:eastAsia="el"/>
        </w:rPr>
        <w:t>Δ/νση Τεχν. Ελέγχου</w:t>
      </w:r>
    </w:p>
    <w:p>
      <w:pPr>
        <w:pStyle w:val="PreambelText"/>
        <w:spacing w:before="240" w:after="240"/>
        <w:rPr>
          <w:lang w:val="el" w:eastAsia="el"/>
        </w:rPr>
      </w:pPr>
      <w:hyperlink r:id="rId19" w:history="1">
        <w:r>
          <w:rPr>
            <w:rStyle w:val="Hyperlink"/>
            <w:b/>
            <w:bCs/>
            <w:color w:val="0000EE"/>
            <w:u w:color="0000EE"/>
            <w:lang w:val="el" w:eastAsia="el"/>
          </w:rPr>
          <w:t>info@efpolis.gr</w:t>
        </w:r>
      </w:hyperlink>
    </w:p>
    <w:p>
      <w:pPr>
        <w:pStyle w:val="PreambelText"/>
        <w:spacing w:before="240" w:after="240"/>
        <w:rPr>
          <w:lang w:val="el" w:eastAsia="el"/>
        </w:rPr>
      </w:pPr>
      <w:r>
        <w:rPr>
          <w:b/>
          <w:bCs/>
          <w:lang w:val="el" w:eastAsia="el"/>
        </w:rPr>
        <w:t xml:space="preserve">6) </w:t>
      </w:r>
      <w:r>
        <w:rPr>
          <w:b/>
          <w:bCs/>
          <w:lang w:val="el" w:eastAsia="el"/>
        </w:rPr>
        <w:t xml:space="preserve">Εισαγγελία Πρωτοδικών Αθηνών, </w:t>
      </w:r>
      <w:r>
        <w:rPr>
          <w:b/>
          <w:bCs/>
          <w:u w:val="single"/>
          <w:lang w:val="el" w:eastAsia="el"/>
        </w:rPr>
        <w:t>Εισαγγελία Αγορανομίας</w:t>
      </w:r>
      <w:r>
        <w:rPr>
          <w:b/>
          <w:bCs/>
          <w:lang w:val="el" w:eastAsia="el"/>
        </w:rPr>
        <w:t xml:space="preserve">, </w:t>
      </w:r>
      <w:hyperlink r:id="rId20" w:history="1">
        <w:r>
          <w:rPr>
            <w:rStyle w:val="Hyperlink"/>
            <w:b/>
            <w:bCs/>
            <w:color w:val="0000EE"/>
            <w:u w:color="0000EE"/>
            <w:lang w:val="el" w:eastAsia="el"/>
          </w:rPr>
          <w:t>eispa01@otenet.gr</w:t>
        </w:r>
      </w:hyperlink>
    </w:p>
    <w:p>
      <w:pPr>
        <w:pStyle w:val="PreambelText"/>
        <w:spacing w:before="240" w:after="240"/>
        <w:rPr>
          <w:lang w:val="el" w:eastAsia="el"/>
        </w:rPr>
      </w:pPr>
      <w:r>
        <w:rPr>
          <w:b/>
          <w:bCs/>
          <w:lang w:val="el" w:eastAsia="el"/>
        </w:rPr>
        <w:t xml:space="preserve">7) </w:t>
      </w:r>
      <w:r>
        <w:rPr>
          <w:b/>
          <w:bCs/>
          <w:lang w:val="el" w:eastAsia="el"/>
        </w:rPr>
        <w:t>Συνήγορος του Καταναλωτή</w:t>
      </w:r>
      <w:r>
        <w:rPr>
          <w:b/>
          <w:bCs/>
          <w:lang w:val="el" w:eastAsia="el"/>
        </w:rPr>
        <w:t xml:space="preserve">, </w:t>
      </w:r>
      <w:hyperlink r:id="rId21" w:history="1">
        <w:r>
          <w:rPr>
            <w:rStyle w:val="Hyperlink"/>
            <w:b/>
            <w:bCs/>
            <w:color w:val="0000EE"/>
            <w:u w:color="0000EE"/>
            <w:lang w:val="el" w:eastAsia="el"/>
          </w:rPr>
          <w:t>grammateia@synigoroskatanaloti.gr</w:t>
        </w:r>
      </w:hyperlink>
    </w:p>
    <w:p>
      <w:pPr>
        <w:pStyle w:val="PreambelText"/>
        <w:spacing w:before="240" w:after="240"/>
        <w:rPr>
          <w:lang w:val="el" w:eastAsia="el"/>
        </w:rPr>
      </w:pPr>
      <w:r>
        <w:rPr>
          <w:b/>
          <w:bCs/>
          <w:lang w:val="el" w:eastAsia="el"/>
        </w:rPr>
        <w:t xml:space="preserve">8) </w:t>
      </w:r>
      <w:r>
        <w:rPr>
          <w:b/>
          <w:bCs/>
          <w:lang w:val="el" w:eastAsia="el"/>
        </w:rPr>
        <w:t>Ένωση Ελλήνων Χημικών</w:t>
      </w:r>
    </w:p>
    <w:p>
      <w:pPr>
        <w:pStyle w:val="Heading1"/>
        <w:spacing w:before="240" w:after="240"/>
        <w:rPr>
          <w:lang w:val="el" w:eastAsia="el"/>
        </w:rPr>
      </w:pPr>
      <w:r>
        <w:rPr>
          <w:b/>
          <w:bCs/>
          <w:u w:val="single"/>
          <w:lang w:val="el" w:eastAsia="el"/>
        </w:rPr>
        <w:t xml:space="preserve">Τμήμα </w:t>
      </w:r>
    </w:p>
    <w:p>
      <w:pPr>
        <w:pStyle w:val="Heading1"/>
        <w:spacing w:before="240" w:after="240"/>
        <w:rPr>
          <w:lang w:val="el" w:eastAsia="el"/>
        </w:rPr>
      </w:pPr>
      <w:r>
        <w:rPr>
          <w:b/>
          <w:bCs/>
          <w:u w:val="single"/>
          <w:lang w:val="el" w:eastAsia="el"/>
        </w:rPr>
        <w:t>Τροφίμων</w:t>
      </w:r>
    </w:p>
    <w:p>
      <w:pPr>
        <w:spacing w:before="240" w:after="240"/>
        <w:rPr>
          <w:lang w:val="el" w:eastAsia="el"/>
        </w:rPr>
      </w:pPr>
      <w:hyperlink r:id="rId22" w:history="1">
        <w:r>
          <w:rPr>
            <w:rStyle w:val="Hyperlink"/>
            <w:b/>
            <w:bCs/>
            <w:color w:val="0000EE"/>
            <w:u w:color="0000EE"/>
            <w:lang w:val="el" w:eastAsia="el"/>
          </w:rPr>
          <w:t>info@eex.gr</w:t>
        </w:r>
      </w:hyperlink>
    </w:p>
    <w:p>
      <w:pPr>
        <w:spacing w:before="240" w:after="240"/>
        <w:rPr>
          <w:lang w:val="el" w:eastAsia="el"/>
        </w:rPr>
      </w:pPr>
      <w:r>
        <w:rPr>
          <w:b/>
          <w:bCs/>
          <w:lang w:val="el" w:eastAsia="el"/>
        </w:rPr>
        <w:t xml:space="preserve">9) </w:t>
      </w:r>
      <w:r>
        <w:rPr>
          <w:b/>
          <w:bCs/>
          <w:lang w:val="el" w:eastAsia="el"/>
        </w:rPr>
        <w:t>Σ.Ε.Β.Τ. ,</w:t>
      </w:r>
      <w:hyperlink r:id="rId23" w:history="1">
        <w:r>
          <w:rPr>
            <w:rStyle w:val="Hyperlink"/>
            <w:b/>
            <w:bCs/>
            <w:color w:val="0000EE"/>
            <w:u w:color="0000EE"/>
            <w:lang w:val="el" w:eastAsia="el"/>
          </w:rPr>
          <w:t>sevt@hol.gr</w:t>
        </w:r>
      </w:hyperlink>
    </w:p>
    <w:p>
      <w:pPr>
        <w:spacing w:before="240" w:after="240"/>
        <w:rPr>
          <w:lang w:val="el" w:eastAsia="el"/>
        </w:rPr>
      </w:pPr>
      <w:r>
        <w:rPr>
          <w:b/>
          <w:bCs/>
          <w:lang w:val="el" w:eastAsia="el"/>
        </w:rPr>
        <w:t xml:space="preserve">10) </w:t>
      </w:r>
      <w:r>
        <w:rPr>
          <w:b/>
          <w:bCs/>
          <w:lang w:val="el" w:eastAsia="el"/>
        </w:rPr>
        <w:t xml:space="preserve">Σύνδεσμος Βιομηχανιών Βορείου Ελλάδος , </w:t>
      </w:r>
      <w:hyperlink r:id="rId24" w:history="1">
        <w:r>
          <w:rPr>
            <w:rStyle w:val="Hyperlink"/>
            <w:b/>
            <w:bCs/>
            <w:color w:val="0000EE"/>
            <w:u w:color="0000EE"/>
            <w:lang w:val="el" w:eastAsia="el"/>
          </w:rPr>
          <w:t>info@sbbe.gr</w:t>
        </w:r>
      </w:hyperlink>
    </w:p>
    <w:p>
      <w:pPr>
        <w:spacing w:before="240" w:after="240"/>
        <w:rPr>
          <w:lang w:val="el" w:eastAsia="el"/>
        </w:rPr>
      </w:pPr>
      <w:r>
        <w:rPr>
          <w:b/>
          <w:bCs/>
          <w:lang w:val="el" w:eastAsia="el"/>
        </w:rPr>
        <w:t xml:space="preserve">11) </w:t>
      </w:r>
      <w:r>
        <w:rPr>
          <w:b/>
          <w:bCs/>
          <w:lang w:val="el" w:eastAsia="el"/>
        </w:rPr>
        <w:t xml:space="preserve">Εμπορικό και Βιομηχανικό Επιμελητήριο Αθηνών, </w:t>
      </w:r>
      <w:hyperlink r:id="rId25"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12) </w:t>
      </w:r>
      <w:r>
        <w:rPr>
          <w:b/>
          <w:bCs/>
          <w:u w:val="single"/>
          <w:lang w:val="el" w:eastAsia="el"/>
        </w:rPr>
        <w:t xml:space="preserve">Σύνδεσμος Αλευροβιομηχάνων Ελλάδας, </w:t>
      </w:r>
      <w:hyperlink r:id="rId26" w:history="1">
        <w:r>
          <w:rPr>
            <w:rStyle w:val="Hyperlink"/>
            <w:b/>
            <w:bCs/>
            <w:color w:val="0000EE"/>
            <w:u w:color="0000EE"/>
            <w:lang w:val="el" w:eastAsia="el"/>
          </w:rPr>
          <w:t>ims@mills.gr</w:t>
        </w:r>
      </w:hyperlink>
    </w:p>
    <w:p>
      <w:pPr>
        <w:spacing w:before="240" w:after="240"/>
        <w:rPr>
          <w:lang w:val="el" w:eastAsia="el"/>
        </w:rPr>
      </w:pPr>
      <w:r>
        <w:rPr>
          <w:b/>
          <w:bCs/>
          <w:u w:val="single"/>
          <w:lang w:val="el" w:eastAsia="el"/>
        </w:rPr>
        <w:t>Εσωτερική διανομή</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Προϊσταμένης Γεν. Διεύθυνσης</w:t>
      </w:r>
    </w:p>
    <w:p>
      <w:pPr>
        <w:pStyle w:val="StructureList1"/>
        <w:spacing w:before="120" w:after="0"/>
        <w:rPr>
          <w:lang w:val="el" w:eastAsia="el"/>
        </w:rPr>
      </w:pPr>
      <w:r>
        <w:rPr>
          <w:b/>
          <w:bCs/>
          <w:lang w:val="el" w:eastAsia="el"/>
        </w:rPr>
        <w:t>-</w:t>
      </w:r>
      <w:r>
        <w:rPr>
          <w:b/>
          <w:bCs/>
          <w:lang w:val="en" w:eastAsia="en"/>
        </w:rPr>
        <w:tab/>
      </w:r>
      <w:r>
        <w:rPr>
          <w:b/>
          <w:bCs/>
          <w:lang w:val="el" w:eastAsia="el"/>
        </w:rPr>
        <w:t>Δ/νση Τροφίμων - Τμ. Α’, Β’</w:t>
      </w:r>
    </w:p>
    <w:p>
      <w:pPr>
        <w:pStyle w:val="StructureList1"/>
        <w:spacing w:before="120" w:after="0"/>
        <w:rPr>
          <w:lang w:val="el" w:eastAsia="el"/>
        </w:rPr>
      </w:pPr>
      <w:r>
        <w:rPr>
          <w:b/>
          <w:bCs/>
          <w:lang w:val="el" w:eastAsia="el"/>
        </w:rPr>
        <w:t>-</w:t>
      </w:r>
      <w:r>
        <w:rPr>
          <w:b/>
          <w:bCs/>
          <w:lang w:val="en" w:eastAsia="en"/>
        </w:rPr>
        <w:tab/>
      </w:r>
      <w:r>
        <w:rPr>
          <w:b/>
          <w:bCs/>
          <w:lang w:val="el" w:eastAsia="el"/>
        </w:rPr>
        <w:t>Δ/νσεις Κ. Υ. / Γ. Χ. Κ.</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Α. Χ. Σ</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Α.Ε.Τ.Α.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barberis@efet.gr" TargetMode="External" /><Relationship Id="rId11" Type="http://schemas.openxmlformats.org/officeDocument/2006/relationships/hyperlink" Target="mailto:etsigarida@efet.gr" TargetMode="External" /><Relationship Id="rId12" Type="http://schemas.openxmlformats.org/officeDocument/2006/relationships/hyperlink" Target="mailto:vkrestos@efet.gr" TargetMode="External" /><Relationship Id="rId13" Type="http://schemas.openxmlformats.org/officeDocument/2006/relationships/hyperlink" Target="mailto:dpanteleaki@efet.gr" TargetMode="External" /><Relationship Id="rId14" Type="http://schemas.openxmlformats.org/officeDocument/2006/relationships/hyperlink" Target="mailto:ax2u141@minagric.gr" TargetMode="External" /><Relationship Id="rId15" Type="http://schemas.openxmlformats.org/officeDocument/2006/relationships/hyperlink" Target="mailto:ve46u064@minagric.gr" TargetMode="External" /><Relationship Id="rId16" Type="http://schemas.openxmlformats.org/officeDocument/2006/relationships/hyperlink" Target="mailto:ka6u004@minagric.gr" TargetMode="External" /><Relationship Id="rId17" Type="http://schemas.openxmlformats.org/officeDocument/2006/relationships/hyperlink" Target="mailto:maria.katsenou@opekepe.gr" TargetMode="External" /><Relationship Id="rId18" Type="http://schemas.openxmlformats.org/officeDocument/2006/relationships/hyperlink" Target="mailto:gge@gge.gr" TargetMode="External" /><Relationship Id="rId19" Type="http://schemas.openxmlformats.org/officeDocument/2006/relationships/hyperlink" Target="mailto:info@efpolis.gr" TargetMode="External" /><Relationship Id="rId2" Type="http://schemas.openxmlformats.org/officeDocument/2006/relationships/webSettings" Target="webSettings.xml" /><Relationship Id="rId20" Type="http://schemas.openxmlformats.org/officeDocument/2006/relationships/hyperlink" Target="mailto:eispa01@otenet.gr" TargetMode="External" /><Relationship Id="rId21" Type="http://schemas.openxmlformats.org/officeDocument/2006/relationships/hyperlink" Target="mailto:grammateia@synigoroskatanaloti.gr" TargetMode="External" /><Relationship Id="rId22" Type="http://schemas.openxmlformats.org/officeDocument/2006/relationships/hyperlink" Target="mailto:info@eex.gr" TargetMode="External" /><Relationship Id="rId23" Type="http://schemas.openxmlformats.org/officeDocument/2006/relationships/hyperlink" Target="mailto:sevt@hol.gr" TargetMode="External" /><Relationship Id="rId24" Type="http://schemas.openxmlformats.org/officeDocument/2006/relationships/hyperlink" Target="mailto:info@sbbe.gr" TargetMode="External" /><Relationship Id="rId25" Type="http://schemas.openxmlformats.org/officeDocument/2006/relationships/hyperlink" Target="mailto:info@acci.gr" TargetMode="External" /><Relationship Id="rId26" Type="http://schemas.openxmlformats.org/officeDocument/2006/relationships/hyperlink" Target="mailto:ims@mills.gr"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trof@gcsl.gr" TargetMode="External" /><Relationship Id="rId5" Type="http://schemas.openxmlformats.org/officeDocument/2006/relationships/hyperlink" Target="http://www.gcsl.gr" TargetMode="External" /><Relationship Id="rId6" Type="http://schemas.openxmlformats.org/officeDocument/2006/relationships/hyperlink" Target="http://www.gcsl.gr" TargetMode="External" /><Relationship Id="rId7" Type="http://schemas.openxmlformats.org/officeDocument/2006/relationships/hyperlink" Target="mailto:sp.bolkas@1990.syzefxis.gov.gr" TargetMode="External" /><Relationship Id="rId8" Type="http://schemas.openxmlformats.org/officeDocument/2006/relationships/hyperlink" Target="mailto:oikepith.thessalonikis@n3.syzefxis.gov.gr" TargetMode="External" /><Relationship Id="rId9" Type="http://schemas.openxmlformats.org/officeDocument/2006/relationships/hyperlink" Target="mailto:info@ef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