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ΦΟΡΟΛΟΓΙΚΩΝ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&amp; ΤΕΛΩΝΕΙΑΚΩΝ ΘΕΜΑΤΩΝ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ΓΕΝΙΚΟΥ ΧΗΜΕΙΟΥ ΤΟΥ ΚΡΑΤΟΥΣ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ΤΡΟΦΙΜΩΝ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22 Ιουνίου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Πρωτ.: οικ 30/003/624/2012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Με ηλεκτρονικό ταχυδρομείο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Διεύθυνση</w:t>
      </w:r>
      <w:r>
        <w:rPr>
          <w:lang w:val="el" w:eastAsia="el"/>
        </w:rPr>
        <w:t>: Αν. Τσόχα 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Κώδικας </w:t>
      </w:r>
      <w:r>
        <w:rPr>
          <w:lang w:val="el" w:eastAsia="el"/>
        </w:rPr>
        <w:t>: 115 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Πληροφορίες </w:t>
      </w:r>
      <w:r>
        <w:rPr>
          <w:lang w:val="el" w:eastAsia="el"/>
        </w:rPr>
        <w:t>: Δ. Χρυσαφίδης 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Αναστασιάδου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Τηλέφωνο </w:t>
      </w:r>
      <w:r>
        <w:rPr>
          <w:lang w:val="el" w:eastAsia="el"/>
        </w:rPr>
        <w:t>:213 2117237-448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Fax </w:t>
      </w:r>
      <w:r>
        <w:rPr>
          <w:lang w:val="el" w:eastAsia="el"/>
        </w:rPr>
        <w:t>: 210 6467725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</w:t>
      </w: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trof@gcsl.gr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</w:t>
      </w:r>
      <w:r>
        <w:rPr>
          <w:lang w:val="el" w:eastAsia="el"/>
        </w:rPr>
        <w:t>: Αποστολή του Kανονισμού (ΕΕ) αριθ. 380/2012 της Επιτροπής «για την τροποποίηση του παραρτήματος ΙΙ του κανονισμού (EK) αριθ. 1333/2008 του Ευρωπαϊκού Κοινοβουλίου και του Συμβουλίου όσον αφορά τους όρους χρήσης και τα επίπεδα χρήσης των προσθέτων τροφίμων που περιέχουν αργίλιο».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ενημερώνουμε ότι στις 4 Μαΐου 2012 δημοσιεύθηκε στην Επίσημη Εφημερίδα της Ευρωπαϊκής Ένωσης ο Κανονισμός (ΕΕ) αριθ. </w:t>
      </w:r>
      <w:r>
        <w:rPr>
          <w:b/>
          <w:bCs/>
          <w:lang w:val="el" w:eastAsia="el"/>
        </w:rPr>
        <w:t xml:space="preserve">380/2012 </w:t>
      </w:r>
      <w:r>
        <w:rPr>
          <w:lang w:val="el" w:eastAsia="el"/>
        </w:rPr>
        <w:t>της Επιτροπής της 3ης Μαΐου 2012 για «την τροποποίηση του παραρτήματος ΙΙ του καν. (EK) αριθ. 1333/2008 του Ευρωπαϊκού Κοινοβουλίου και του Συμβουλίου όσον αφορά τους όρους χρήσης και τα επίπεδα χρήσης των προσθέτων τροφίμων που περιέχουν αργίλιο» (ΕΕ L119/4.5.2012, σελ.14-38).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τροποποίηση του Παραρτήματος ΙΙ του Κανονισμού (ΕΚ) 1333/2008 βασίστηκε σε σύσταση της Ευρωπαϊκής Αρχής για την Ασφάλεια των Τροφίμων (EFSA) σχετικά με την ανάγκη μείωσης της συνολικής πρόσληψης αργιλίου (</w:t>
      </w:r>
      <w:r>
        <w:rPr>
          <w:b/>
          <w:bCs/>
          <w:lang w:val="el" w:eastAsia="el"/>
        </w:rPr>
        <w:t>αλουμινίου</w:t>
      </w:r>
      <w:r>
        <w:rPr>
          <w:lang w:val="el" w:eastAsia="el"/>
        </w:rPr>
        <w:t>) λαμβάνοντας υπόψη την ανεκτή εβδομαδιαία πρόσληψη (ΑΕΠ) (1mg/kg σωματικού βάρους ανά εβδομάδα). Σύμφωνα με την EFSA οι υψηλοί καταναλωτές, ιδίως τα παιδιά, υπερβαίνουν την αναθεωρημένη ΑΕΠ σε σημαντικό μέρος της Ένωσης. Ο υπολογισμός της υπέρβασης αυτής στηρίχθηκε σε πειραματικά αποτελέσματα σε τρόφιμα ενώ η θεωρητικά αναμενόμενη είναι πολύ μεγαλύτερη.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στόχο την μείωση της έκθεσης αργιλίου σε επίπεδα κάτω από την ΑΕΠ το παράρτημα ΙΙ του καν. (ΕΚ) αριθ. 1333/2008 τροποποιείται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Θεσπίζονται </w:t>
      </w:r>
      <w:r>
        <w:rPr>
          <w:b/>
          <w:bCs/>
          <w:u w:val="single"/>
          <w:lang w:val="el" w:eastAsia="el"/>
        </w:rPr>
        <w:t xml:space="preserve">ανώτατα όρια για το αργίλιο που προέρχεται από λάκες αργιλίου </w:t>
      </w:r>
      <w:r>
        <w:rPr>
          <w:lang w:val="el" w:eastAsia="el"/>
        </w:rPr>
        <w:t>(Παράρτημα, σημείο δ, υποσημειώσεις (65), (66), (67), (68), (69), (70), (71), (72), (73), (74), (75), (76), (77) και (78))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Ως </w:t>
      </w:r>
      <w:r>
        <w:rPr>
          <w:b/>
          <w:bCs/>
          <w:lang w:val="el" w:eastAsia="el"/>
        </w:rPr>
        <w:t xml:space="preserve">ημερομηνία εφαρμογής των παραπάνω ορίων </w:t>
      </w:r>
      <w:r>
        <w:rPr>
          <w:lang w:val="el" w:eastAsia="el"/>
        </w:rPr>
        <w:t xml:space="preserve">ορίζεται η </w:t>
      </w:r>
      <w:r>
        <w:rPr>
          <w:b/>
          <w:bCs/>
          <w:lang w:val="el" w:eastAsia="el"/>
        </w:rPr>
        <w:t>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 2014</w:t>
      </w:r>
      <w:r>
        <w:rPr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Καθίσταται </w:t>
      </w:r>
      <w:r>
        <w:rPr>
          <w:b/>
          <w:bCs/>
          <w:u w:val="single"/>
          <w:lang w:val="el" w:eastAsia="el"/>
        </w:rPr>
        <w:t>υποχρεωτική</w:t>
      </w:r>
      <w:r>
        <w:rPr>
          <w:b/>
          <w:bCs/>
          <w:lang w:val="el" w:eastAsia="el"/>
        </w:rPr>
        <w:t xml:space="preserve"> η επισήμανση της περιεκτικότητας σε αργίλιο των λακών αργιλίου </w:t>
      </w:r>
      <w:r>
        <w:rPr>
          <w:lang w:val="el" w:eastAsia="el"/>
        </w:rPr>
        <w:t xml:space="preserve">που χρησιμοποιούνται στα τρόφιμα και </w:t>
      </w:r>
      <w:r>
        <w:rPr>
          <w:b/>
          <w:bCs/>
          <w:u w:val="single"/>
          <w:lang w:val="el" w:eastAsia="el"/>
        </w:rPr>
        <w:t>δεν προορίζονται για πώληση στον τελικό καταναλωτή</w:t>
      </w:r>
      <w:r>
        <w:rPr>
          <w:b/>
          <w:bCs/>
          <w:lang w:val="el" w:eastAsia="el"/>
        </w:rPr>
        <w:t xml:space="preserve"> (business to business) </w:t>
      </w:r>
      <w:r>
        <w:rPr>
          <w:lang w:val="el" w:eastAsia="el"/>
        </w:rPr>
        <w:t>(Παράρτημα, σημείο δ, υποσημειώσεις (65), (66), (67), (68), (69), (70), (71), (72), (73), (74), (75), (76), (77) και (78))</w:t>
      </w:r>
      <w:r>
        <w:rPr>
          <w:b/>
          <w:bCs/>
          <w:lang w:val="el" w:eastAsia="el"/>
        </w:rPr>
        <w:t>. Η συγκεκριμένη διάταξη εφαρμόζεται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Φεβρουαρίου 2013</w:t>
      </w:r>
      <w:r>
        <w:rPr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Διαγράφεται </w:t>
      </w:r>
      <w:r>
        <w:rPr>
          <w:lang w:val="el" w:eastAsia="el"/>
        </w:rPr>
        <w:t xml:space="preserve">από το Παράρτημα ΙΙ του Κανονισμού (ΕΚ) 1333/2008 ο φορέας </w:t>
      </w:r>
      <w:r>
        <w:rPr>
          <w:b/>
          <w:bCs/>
          <w:lang w:val="el" w:eastAsia="el"/>
        </w:rPr>
        <w:t xml:space="preserve">μπετονίτης (Ε558) </w:t>
      </w:r>
      <w:r>
        <w:rPr>
          <w:lang w:val="el" w:eastAsia="el"/>
        </w:rPr>
        <w:t xml:space="preserve">που περιέχει αργίλιο διότι δε χρησιμοποιείται πλέον από τους παρασκευαστές τροφίμων (Παράρτημα, σημείο β, στοιχεία i &amp; ii). Ως </w:t>
      </w:r>
      <w:r>
        <w:rPr>
          <w:b/>
          <w:bCs/>
          <w:lang w:val="el" w:eastAsia="el"/>
        </w:rPr>
        <w:t xml:space="preserve">καταληκτική ημερομηνία χρήσης </w:t>
      </w:r>
      <w:r>
        <w:rPr>
          <w:lang w:val="el" w:eastAsia="el"/>
        </w:rPr>
        <w:t xml:space="preserve">του προσθέτου ορίζεται η </w:t>
      </w:r>
      <w:r>
        <w:rPr>
          <w:b/>
          <w:bCs/>
          <w:lang w:val="el" w:eastAsia="el"/>
        </w:rPr>
        <w:t>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Μαΐου 2013</w:t>
      </w:r>
      <w:r>
        <w:rPr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Διαγράφονται </w:t>
      </w:r>
      <w:r>
        <w:rPr>
          <w:lang w:val="el" w:eastAsia="el"/>
        </w:rPr>
        <w:t xml:space="preserve">από το Παράρτημα ΙΙ του Κανονισμού (ΕΚ) 1333/2008 τα πρόσθετα τροφίμων </w:t>
      </w:r>
      <w:r>
        <w:rPr>
          <w:b/>
          <w:bCs/>
          <w:lang w:val="el" w:eastAsia="el"/>
        </w:rPr>
        <w:t xml:space="preserve">πυριτικό αργιλιοασβέστιο (Ε556) </w:t>
      </w:r>
      <w:r>
        <w:rPr>
          <w:lang w:val="el" w:eastAsia="el"/>
        </w:rPr>
        <w:t xml:space="preserve">και </w:t>
      </w:r>
      <w:r>
        <w:rPr>
          <w:b/>
          <w:bCs/>
          <w:lang w:val="el" w:eastAsia="el"/>
        </w:rPr>
        <w:t xml:space="preserve">πυριτικό αργίλιο (καολίνης) (Ε559) </w:t>
      </w:r>
      <w:r>
        <w:rPr>
          <w:lang w:val="el" w:eastAsia="el"/>
        </w:rPr>
        <w:t xml:space="preserve">δεδομένου ότι οι εν λόγω ουσίες μπορούν να αντικατασταθούν από άλλα πρόσθετα τροφίμων (Παράρτημα, σημείο β, στοιχεία i &amp; ii). Ως </w:t>
      </w:r>
      <w:r>
        <w:rPr>
          <w:b/>
          <w:bCs/>
          <w:lang w:val="el" w:eastAsia="el"/>
        </w:rPr>
        <w:t xml:space="preserve">καταληκτική ημερομηνία χρήσης </w:t>
      </w:r>
      <w:r>
        <w:rPr>
          <w:lang w:val="el" w:eastAsia="el"/>
        </w:rPr>
        <w:t xml:space="preserve">των προσθέτων αυτών ορίζεται η </w:t>
      </w:r>
      <w:r>
        <w:rPr>
          <w:b/>
          <w:bCs/>
          <w:lang w:val="el" w:eastAsia="el"/>
        </w:rPr>
        <w:t>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Ιανουαρίου 2014</w:t>
      </w:r>
      <w:r>
        <w:rPr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Προστίθεται πίνακας </w:t>
      </w:r>
      <w:r>
        <w:rPr>
          <w:lang w:val="el" w:eastAsia="el"/>
        </w:rPr>
        <w:t xml:space="preserve">στο μέρος Α του παραρτήματος ΙΙ του Κανονισμού (ΕΚ) 1333/2008 που αφορά στον κατάλογο όλων των προσθέτων </w:t>
      </w:r>
      <w:r>
        <w:rPr>
          <w:b/>
          <w:bCs/>
          <w:lang w:val="el" w:eastAsia="el"/>
        </w:rPr>
        <w:t xml:space="preserve">που περιλαμβάνει τις χρωστικές που μπορούν να χρησιμοποιούνται με τη μορφή λακών </w:t>
      </w:r>
      <w:r>
        <w:rPr>
          <w:lang w:val="el" w:eastAsia="el"/>
        </w:rPr>
        <w:t xml:space="preserve">(Πίνακας 3). Τροποποιείται επίσης η παράγραφος 4 του τμήματος 2 του μέρους Α ώστε από την </w:t>
      </w:r>
      <w:r>
        <w:rPr>
          <w:b/>
          <w:bCs/>
          <w:lang w:val="el" w:eastAsia="el"/>
        </w:rPr>
        <w:t>1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 </w:t>
      </w:r>
      <w:r>
        <w:rPr>
          <w:b/>
          <w:bCs/>
          <w:lang w:val="el" w:eastAsia="el"/>
        </w:rPr>
        <w:t xml:space="preserve">Αυγούστου 2014 </w:t>
      </w:r>
      <w:r>
        <w:rPr>
          <w:lang w:val="el" w:eastAsia="el"/>
        </w:rPr>
        <w:t>οι λάκες αργιλίου να παρασκευάζονται αποκλειστικά από τις χρωστικές του Πίνακα 3 του μέρους Α και μόνο για τις κατηγορίες τροφίμων για τις οποίες προβλέπονται στο μέρος Ε ανώτατα επιτρεπτά όρια αργιλίου προερχόμενου από λάκες (Παράρτημα, σημείο α, στοιχεία i &amp; ii).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Αφαιρούνται από την ομάδα προσθέτων «Διοξείδιο του πυριτίου – πυριτικά άλατα» </w:t>
      </w:r>
      <w:r>
        <w:rPr>
          <w:lang w:val="el" w:eastAsia="el"/>
        </w:rPr>
        <w:t xml:space="preserve">του πίνακα 5, στοιχείο ιθ) του μέρους Γ του παραρτήματος ΙΙ του Κανονισμού (ΕΚ) 1333/2008 τα πρόσθετα </w:t>
      </w:r>
      <w:r>
        <w:rPr>
          <w:b/>
          <w:bCs/>
          <w:lang w:val="el" w:eastAsia="el"/>
        </w:rPr>
        <w:t xml:space="preserve">πυριτικό αργιλιονάτριο (Ε554), πυριτικό αργιλιοκάλιο (Ε555), πυριτικό αργιλιασβέστιο (Ε556) και πυριτικό αργίλιο (καολίνης) (Ε559) </w:t>
      </w:r>
      <w:r>
        <w:rPr>
          <w:lang w:val="el" w:eastAsia="el"/>
        </w:rPr>
        <w:t xml:space="preserve">(Παράρτημα, σημείο γ). </w:t>
      </w:r>
      <w:r>
        <w:rPr>
          <w:b/>
          <w:bCs/>
          <w:lang w:val="el" w:eastAsia="el"/>
        </w:rPr>
        <w:t>Ο νέος πίνακας της ομάδας προσθέτων εφαρμόζεται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Φεβρουαρίου 2014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Κανονισμός (ΕΚ) 380/2012 ισχύει από την 23η Μαΐου 2012 </w:t>
      </w:r>
      <w:r>
        <w:rPr>
          <w:lang w:val="el" w:eastAsia="el"/>
        </w:rPr>
        <w:t xml:space="preserve">και οι επιμέρους διατάξεις εφαρμόζονται όπως αναφέρεται στις παραγράφους α) έως στ). Παρόλα αυτά, </w:t>
      </w:r>
      <w:r>
        <w:rPr>
          <w:b/>
          <w:bCs/>
          <w:lang w:val="el" w:eastAsia="el"/>
        </w:rPr>
        <w:t>τα τρόφιμα που δεν συμμορφώνονται με τις διατάξεις του παρόντος κανονισμού που εφαρμόζονται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Φεβρουαρίου 2014 και τα οποία έχουν διατεθεί νομίμως στην αγορά πριν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Φεβρουαρίου 2014 </w:t>
      </w:r>
      <w:r>
        <w:rPr>
          <w:lang w:val="el" w:eastAsia="el"/>
        </w:rPr>
        <w:t xml:space="preserve">μπορούν να εξακολουθήσουν να πωλούνται στην αγορά έως την ημερομηνία ελάχιστης διατήρησής τους ή την ημερομηνία έως την οποία πρέπει να καταναλωθούν το αργότερο. Επίσης, </w:t>
      </w:r>
      <w:r>
        <w:rPr>
          <w:b/>
          <w:bCs/>
          <w:lang w:val="el" w:eastAsia="el"/>
        </w:rPr>
        <w:t>τα τρόφιμα που περιέχουν λάκες αργιλίου και δεν συμμορφώνονται με τις διατάξεις του παρόντος κανονισμού που εφαρμόζονται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 2014, το οποία έχουν διατεθεί νομίμως στην αγορά πριν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Αυγούστου, </w:t>
      </w:r>
      <w:r>
        <w:rPr>
          <w:lang w:val="el" w:eastAsia="el"/>
        </w:rPr>
        <w:t>μπορούν να εξακολουθήσουν να πωλούνται στην αγορά έως την ημερομηνία ελάχιστης διατήρησής τους ή την ημερομηνία έως την οποία πρέπει να καταναλωθούν το αργότερο.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ενημερώνουμε ότι την εγκύκλιο αυτή, την ανευρίσκετε στην ιστοσελίδα του Γ.Χ.Κ.: 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http://www.gcsl.gr</w:t>
        </w:r>
      </w:hyperlink>
      <w:r>
        <w:rPr>
          <w:lang w:val="el" w:eastAsia="el"/>
        </w:rPr>
        <w:t xml:space="preserve">, ακολουθώντας τη διαδρομή: </w:t>
      </w:r>
      <w:r>
        <w:rPr>
          <w:b/>
          <w:bCs/>
          <w:lang w:val="el" w:eastAsia="el"/>
        </w:rPr>
        <w:t>&lt;Διευθύνσεις&gt;/&lt;Διεύθυνση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Τροφίμων&gt;/&lt;Εγκύκλιοι&gt;/&lt;Χημική Ασφάλεια&gt;/&lt;Πρόσθετα – Αρωματικές Ύλες – Ένζυμα&gt;.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αναφερόμενος κανονισμός αποστέλλεται συνημμένα σε ηλεκτρονική μορφή και μπορεί σε κάθε περίπτωση να αναζητηθεί στο διαδικτυακό τόπο της Επίσημης Εφημερίδας της Ευρωπαϊκής Ένωσης (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http://eur-lex.europa.eu</w:t>
        </w:r>
      </w:hyperlink>
      <w:r>
        <w:rPr>
          <w:lang w:val="el" w:eastAsia="el"/>
        </w:rPr>
        <w:t>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Παρακαλούμε οι Προϊστάμενοι των Υπηρεσιών του Γ.Χ.Κ. να φροντίσουν να λάβει γνώση ενυπόγραφα το τεχνικό προσωπικό.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Παραμένουμε στη διάθεσή σας για οποιαδήποτε περαιτέρω πληροφορία ή διευκρίνιση.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Δ/νσης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κ.α.α.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Γαρδίκης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Καν (ΕΕ) 380/2012 (EΕ L 119/04.5.2012, σελ.14-38) (ηλεκτρονική μορφή).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Υπουργείο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Γενικό Χημείο του Κράτους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Χημικές Υπηρεσίες Γ.Χ.Κ.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Τεχνικό προσωπικό Γ.Χ.Κ. μέσω των Δ/νσεών τους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Γενική Διεύθυνση Οικονομικής Επιθεώρησης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Οικονομική Επιθεώρηση Αθηνών, 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p.prokopiou@1990.syzefxis.gov.gr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 xml:space="preserve">Οικονομική Επιθεώρηση Θεσσαλονίκης, 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oikepith.thessalonikis@n3.syzefxis.gov.gr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Υπουργείο Υγείας και Κοινωνικής Αλληλεγγύης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Ε.Φ.Ε.Τ.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Γραφείο Προέδρου 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info@efet.gr</w:t>
        </w:r>
      </w:hyperlink>
      <w:r>
        <w:rPr>
          <w:lang w:val="el" w:eastAsia="el"/>
        </w:rPr>
        <w:t>;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Δ/νση Εργαστηριακών Ελέγχων, 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kbarberis@efet.gr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Δ/νση Διατροφικής Πολιτικής και Ερευνών, 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etsigarida@efet.gr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 xml:space="preserve">Δ/νση Αξιολόγησης Εγκρίσεων, 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vkrestos@efet.gr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 xml:space="preserve">Δ/νση Ελέγχου Επιχειρήσεων, 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dpanteleaki@efet.gr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3) </w:t>
      </w:r>
      <w:r>
        <w:rPr>
          <w:b/>
          <w:bCs/>
          <w:lang w:val="el" w:eastAsia="el"/>
        </w:rPr>
        <w:t>Υπουργείο Αγροτικής Ανάπτυξης &amp; Τροφίμων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Μεταποίησης Τυποποίησης &amp; Ποιοτικού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Προϊόντων Φυτικής Παραγωγής, 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ax2u141@minagric.gr</w:t>
        </w:r>
      </w:hyperlink>
      <w:r>
        <w:rPr>
          <w:lang w:val="el" w:eastAsia="el"/>
        </w:rPr>
        <w:t xml:space="preserve"> β) Γεν. Δ/νση Ζωικής Παραγωγής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Δ/νση Ζωικής Παραγωγής &amp; ΑΠΑ, 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ve46u064@minagric.gr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 xml:space="preserve">Γεν. Δ/νση Κτηνιατρικής, </w:t>
      </w:r>
      <w:hyperlink r:id="rId16" w:history="1">
        <w:r>
          <w:rPr>
            <w:rStyle w:val="Hyperlink"/>
            <w:color w:val="0000EE"/>
            <w:u w:color="0000EE"/>
            <w:lang w:val="el" w:eastAsia="el"/>
          </w:rPr>
          <w:t>ka6u004@minagric.gr</w:t>
        </w:r>
      </w:hyperlink>
      <w:r>
        <w:rPr>
          <w:lang w:val="el" w:eastAsia="el"/>
        </w:rPr>
        <w:t xml:space="preserve"> δ) ΟΠΕΚΕΠΕ - Δ/νση Μηχανισμών Αγοράς, Τμήμα Αγοράς, </w:t>
      </w:r>
      <w:hyperlink r:id="rId17" w:history="1">
        <w:r>
          <w:rPr>
            <w:rStyle w:val="Hyperlink"/>
            <w:color w:val="0000EE"/>
            <w:u w:color="0000EE"/>
            <w:lang w:val="el" w:eastAsia="el"/>
          </w:rPr>
          <w:t>maria.katsenou@opekepe.gr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4) </w:t>
      </w:r>
      <w:r>
        <w:rPr>
          <w:b/>
          <w:bCs/>
          <w:lang w:val="el" w:eastAsia="el"/>
        </w:rPr>
        <w:t>Υπουργείο Ανάπτυξης, Ανταγωνιστικότητας και Ναυτιλίας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Γενική Γραμματεία Εμπορίου, </w:t>
      </w:r>
      <w:hyperlink r:id="rId18" w:history="1">
        <w:r>
          <w:rPr>
            <w:rStyle w:val="Hyperlink"/>
            <w:color w:val="0000EE"/>
            <w:u w:color="0000EE"/>
            <w:lang w:val="el" w:eastAsia="el"/>
          </w:rPr>
          <w:t>gge@gge.gr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5) </w:t>
      </w:r>
      <w:r>
        <w:rPr>
          <w:b/>
          <w:bCs/>
          <w:lang w:val="el" w:eastAsia="el"/>
        </w:rPr>
        <w:t>Υπουργείο Εργασίας και Κοινωνικής Ασφάλισης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Γενική Γραμματεία Καταναλωτή, Δ/νση Τεχν. Ελέγχου, </w:t>
      </w:r>
      <w:hyperlink r:id="rId19" w:history="1">
        <w:r>
          <w:rPr>
            <w:rStyle w:val="Hyperlink"/>
            <w:color w:val="0000EE"/>
            <w:u w:color="0000EE"/>
            <w:lang w:val="el" w:eastAsia="el"/>
          </w:rPr>
          <w:t>info@efpolis.gr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6) </w:t>
      </w:r>
      <w:r>
        <w:rPr>
          <w:b/>
          <w:bCs/>
          <w:lang w:val="el" w:eastAsia="el"/>
        </w:rPr>
        <w:t>Εισαγγελία Πρωτοδικών Αθηνών,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Εισαγγελία Αγορανομίας, </w:t>
      </w:r>
      <w:hyperlink r:id="rId20" w:history="1">
        <w:r>
          <w:rPr>
            <w:rStyle w:val="Hyperlink"/>
            <w:color w:val="0000EE"/>
            <w:u w:color="0000EE"/>
            <w:lang w:val="el" w:eastAsia="el"/>
          </w:rPr>
          <w:t>eispa01@otenet.gr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7) </w:t>
      </w:r>
      <w:r>
        <w:rPr>
          <w:b/>
          <w:bCs/>
          <w:u w:val="single"/>
          <w:lang w:val="el" w:eastAsia="el"/>
        </w:rPr>
        <w:t>Συνήγορος του Καταναλωτή</w:t>
      </w:r>
      <w:r>
        <w:rPr>
          <w:lang w:val="el" w:eastAsia="el"/>
        </w:rPr>
        <w:t xml:space="preserve">, </w:t>
      </w:r>
      <w:hyperlink r:id="rId21" w:history="1">
        <w:r>
          <w:rPr>
            <w:rStyle w:val="Hyperlink"/>
            <w:color w:val="0000EE"/>
            <w:u w:color="0000EE"/>
            <w:lang w:val="el" w:eastAsia="el"/>
          </w:rPr>
          <w:t>grammateia@synigoroskatanaloti.gr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8) </w:t>
      </w:r>
      <w:r>
        <w:rPr>
          <w:b/>
          <w:bCs/>
          <w:lang w:val="el" w:eastAsia="el"/>
        </w:rPr>
        <w:t>Ένωση Ελλήνων Χημικών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Τροφίμων, </w:t>
      </w:r>
      <w:hyperlink r:id="rId22" w:history="1">
        <w:r>
          <w:rPr>
            <w:rStyle w:val="Hyperlink"/>
            <w:color w:val="0000EE"/>
            <w:u w:color="0000EE"/>
            <w:lang w:val="el" w:eastAsia="el"/>
          </w:rPr>
          <w:t>info@eex.gr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9) </w:t>
      </w:r>
      <w:r>
        <w:rPr>
          <w:b/>
          <w:bCs/>
          <w:u w:val="single"/>
          <w:lang w:val="el" w:eastAsia="el"/>
        </w:rPr>
        <w:t>Σ.Ε.Β.Τ.</w:t>
      </w:r>
      <w:r>
        <w:rPr>
          <w:b/>
          <w:bCs/>
          <w:lang w:val="el" w:eastAsia="el"/>
        </w:rPr>
        <w:t xml:space="preserve"> ,</w:t>
      </w:r>
      <w:hyperlink r:id="rId23" w:history="1">
        <w:r>
          <w:rPr>
            <w:rStyle w:val="Hyperlink"/>
            <w:color w:val="0000EE"/>
            <w:u w:color="0000EE"/>
            <w:lang w:val="el" w:eastAsia="el"/>
          </w:rPr>
          <w:t>sevt@hol.gr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10) </w:t>
      </w:r>
      <w:r>
        <w:rPr>
          <w:b/>
          <w:bCs/>
          <w:u w:val="single"/>
          <w:lang w:val="el" w:eastAsia="el"/>
        </w:rPr>
        <w:t>Σύνδεσμος Βιομηχανιών Βορείου Ελλάδος</w:t>
      </w:r>
      <w:r>
        <w:rPr>
          <w:b/>
          <w:bCs/>
          <w:lang w:val="el" w:eastAsia="el"/>
        </w:rPr>
        <w:t xml:space="preserve"> , </w:t>
      </w:r>
      <w:hyperlink r:id="rId24" w:history="1">
        <w:r>
          <w:rPr>
            <w:rStyle w:val="Hyperlink"/>
            <w:color w:val="0000EE"/>
            <w:u w:color="0000EE"/>
            <w:lang w:val="el" w:eastAsia="el"/>
          </w:rPr>
          <w:t>info@sbbe.gr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11) </w:t>
      </w:r>
      <w:r>
        <w:rPr>
          <w:b/>
          <w:bCs/>
          <w:u w:val="single"/>
          <w:lang w:val="el" w:eastAsia="el"/>
        </w:rPr>
        <w:t>Εμπορικό και Βιομηχανικό Επιμελητήριο Αθηνών</w:t>
      </w:r>
      <w:r>
        <w:rPr>
          <w:b/>
          <w:bCs/>
          <w:lang w:val="el" w:eastAsia="el"/>
        </w:rPr>
        <w:t xml:space="preserve">, </w:t>
      </w:r>
      <w:hyperlink r:id="rId25" w:history="1">
        <w:r>
          <w:rPr>
            <w:rStyle w:val="Hyperlink"/>
            <w:color w:val="0000EE"/>
            <w:u w:color="0000EE"/>
            <w:lang w:val="el" w:eastAsia="el"/>
          </w:rPr>
          <w:t>info@acci.gr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12) </w:t>
      </w:r>
      <w:r>
        <w:rPr>
          <w:b/>
          <w:bCs/>
          <w:u w:val="single"/>
          <w:lang w:val="el" w:eastAsia="el"/>
        </w:rPr>
        <w:t>Εσωτερική διανομή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Προϊσταμένης Γεν. Διεύθυνσης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Τροφίμων - Τμ. Α’, Β’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Χημικοτεχνική Δασμολογίου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Αλκοόλης, Αλκοολούχων Ποτών, Οίνου, Ζύθου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kbarberis@efet.gr" TargetMode="External" /><Relationship Id="rId11" Type="http://schemas.openxmlformats.org/officeDocument/2006/relationships/hyperlink" Target="mailto:etsigarida@efet.gr" TargetMode="External" /><Relationship Id="rId12" Type="http://schemas.openxmlformats.org/officeDocument/2006/relationships/hyperlink" Target="mailto:vkrestos@efet.gr" TargetMode="External" /><Relationship Id="rId13" Type="http://schemas.openxmlformats.org/officeDocument/2006/relationships/hyperlink" Target="mailto:dpanteleaki@efet.gr" TargetMode="External" /><Relationship Id="rId14" Type="http://schemas.openxmlformats.org/officeDocument/2006/relationships/hyperlink" Target="mailto:ax2u141@minagric.gr" TargetMode="External" /><Relationship Id="rId15" Type="http://schemas.openxmlformats.org/officeDocument/2006/relationships/hyperlink" Target="mailto:ve46u064@minagric.gr" TargetMode="External" /><Relationship Id="rId16" Type="http://schemas.openxmlformats.org/officeDocument/2006/relationships/hyperlink" Target="mailto:ka6u004@minagric.gr" TargetMode="External" /><Relationship Id="rId17" Type="http://schemas.openxmlformats.org/officeDocument/2006/relationships/hyperlink" Target="mailto:maria.katsenou@opekepe.gr" TargetMode="External" /><Relationship Id="rId18" Type="http://schemas.openxmlformats.org/officeDocument/2006/relationships/hyperlink" Target="mailto:gge@gge.gr" TargetMode="External" /><Relationship Id="rId19" Type="http://schemas.openxmlformats.org/officeDocument/2006/relationships/hyperlink" Target="mailto:info@efpolis.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eispa01@otenet.gr" TargetMode="External" /><Relationship Id="rId21" Type="http://schemas.openxmlformats.org/officeDocument/2006/relationships/hyperlink" Target="mailto:grammateia@synigoroskatanaloti.gr" TargetMode="External" /><Relationship Id="rId22" Type="http://schemas.openxmlformats.org/officeDocument/2006/relationships/hyperlink" Target="mailto:info@eex.gr" TargetMode="External" /><Relationship Id="rId23" Type="http://schemas.openxmlformats.org/officeDocument/2006/relationships/hyperlink" Target="mailto:sevt@hol.gr" TargetMode="External" /><Relationship Id="rId24" Type="http://schemas.openxmlformats.org/officeDocument/2006/relationships/hyperlink" Target="mailto:info@sbbe.gr" TargetMode="External" /><Relationship Id="rId25" Type="http://schemas.openxmlformats.org/officeDocument/2006/relationships/hyperlink" Target="mailto:info@acci.gr" TargetMode="Externa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trof@gcsl.gr" TargetMode="External" /><Relationship Id="rId5" Type="http://schemas.openxmlformats.org/officeDocument/2006/relationships/hyperlink" Target="http://www.gcsl.gr" TargetMode="External" /><Relationship Id="rId6" Type="http://schemas.openxmlformats.org/officeDocument/2006/relationships/hyperlink" Target="http://eur-lex.europa.eu" TargetMode="External" /><Relationship Id="rId7" Type="http://schemas.openxmlformats.org/officeDocument/2006/relationships/hyperlink" Target="mailto:p.prokopiou@1990.syzefxis.gov.gr" TargetMode="External" /><Relationship Id="rId8" Type="http://schemas.openxmlformats.org/officeDocument/2006/relationships/hyperlink" Target="mailto:oikepith.thessalonikis@n3.syzefxis.gov.gr" TargetMode="External" /><Relationship Id="rId9" Type="http://schemas.openxmlformats.org/officeDocument/2006/relationships/hyperlink" Target="mailto:info@efet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