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11/12 / 2012</w:t>
      </w:r>
    </w:p>
    <w:p>
      <w:pPr>
        <w:pStyle w:val="PreambelText"/>
        <w:spacing w:before="240" w:after="240"/>
        <w:rPr>
          <w:lang w:val="el" w:eastAsia="el"/>
        </w:rPr>
      </w:pPr>
      <w:r>
        <w:rPr>
          <w:lang w:val="el" w:eastAsia="el"/>
        </w:rPr>
        <w:t>Αριθ.Πρωτ:ΠΟΛ. 1215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 ΕΞ ΕΠΕΙΓΟΝ</w:t>
      </w:r>
    </w:p>
    <w:p>
      <w:pPr>
        <w:pStyle w:val="PreambelText"/>
        <w:spacing w:before="240" w:after="240"/>
        <w:rPr>
          <w:lang w:val="el" w:eastAsia="el"/>
        </w:rPr>
      </w:pPr>
      <w:r>
        <w:rPr>
          <w:b/>
          <w:bCs/>
          <w:lang w:val="el" w:eastAsia="el"/>
        </w:rPr>
        <w:t>ΓΕΝΙΚΗ ΓΡΑΜΜΑΤΕΙΑ ΥΠΟΥΡΓΕΙΟΥ</w:t>
      </w:r>
    </w:p>
    <w:p>
      <w:pPr>
        <w:pStyle w:val="PreambelText"/>
        <w:spacing w:before="240" w:after="240"/>
        <w:rPr>
          <w:lang w:val="el" w:eastAsia="el"/>
        </w:rPr>
      </w:pPr>
      <w:r>
        <w:rPr>
          <w:b/>
          <w:bCs/>
          <w:lang w:val="el" w:eastAsia="el"/>
        </w:rPr>
        <w:t>OΙΚΟΝΟΜΙΚΩΝ</w:t>
      </w:r>
    </w:p>
    <w:p>
      <w:pPr>
        <w:pStyle w:val="PreambelText"/>
        <w:spacing w:before="240" w:after="240"/>
        <w:rPr>
          <w:lang w:val="el" w:eastAsia="el"/>
        </w:rPr>
      </w:pPr>
      <w:r>
        <w:rPr>
          <w:b/>
          <w:bCs/>
          <w:lang w:val="el" w:eastAsia="el"/>
        </w:rPr>
        <w:t xml:space="preserve">Δ/ΝΣΗ ΔΙΕΘΝΩΝ ΟΙΚΟΝΟΜΙΚΩΝ ΣΧΕΣΕΩΝ </w:t>
      </w:r>
      <w:r>
        <w:rPr>
          <w:b/>
          <w:bCs/>
          <w:i/>
          <w:iCs/>
          <w:lang w:val="el" w:eastAsia="el"/>
        </w:rPr>
        <w:t>ΠΡΟΣ: ΩΣ ΠΙΝΑΚΑ ΑΠΟΔΕΚΤΩΝ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lang w:val="el" w:eastAsia="el"/>
        </w:rPr>
        <w:t>Ταχ.Δ/νση : Καρ. Σερβίας 8</w:t>
      </w:r>
    </w:p>
    <w:p>
      <w:pPr>
        <w:spacing w:before="240" w:after="240"/>
        <w:rPr>
          <w:lang w:val="el" w:eastAsia="el"/>
        </w:rPr>
      </w:pPr>
      <w:r>
        <w:rPr>
          <w:lang w:val="el" w:eastAsia="el"/>
        </w:rPr>
        <w:t>Ταχ.Κωδ. : 101 84 ΑΘΗΝΑ</w:t>
      </w:r>
    </w:p>
    <w:p>
      <w:pPr>
        <w:spacing w:before="240" w:after="240"/>
        <w:rPr>
          <w:lang w:val="el" w:eastAsia="el"/>
        </w:rPr>
      </w:pPr>
      <w:r>
        <w:rPr>
          <w:lang w:val="el" w:eastAsia="el"/>
        </w:rPr>
        <w:t>Πληροφορίες Ι Αναστασίου</w:t>
      </w:r>
    </w:p>
    <w:p>
      <w:pPr>
        <w:spacing w:before="240" w:after="240"/>
        <w:rPr>
          <w:lang w:val="el" w:eastAsia="el"/>
        </w:rPr>
      </w:pPr>
      <w:r>
        <w:rPr>
          <w:lang w:val="el" w:eastAsia="el"/>
        </w:rPr>
        <w:t>Τηλέφωνο : 210-3375859</w:t>
      </w:r>
    </w:p>
    <w:p>
      <w:pPr>
        <w:spacing w:before="240" w:after="240"/>
        <w:rPr>
          <w:lang w:val="el" w:eastAsia="el"/>
        </w:rPr>
      </w:pPr>
      <w:r>
        <w:rPr>
          <w:lang w:val="el" w:eastAsia="el"/>
        </w:rPr>
        <w:t>FAX : 210-3375854</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ypoik@otenet.gr</w:t>
        </w:r>
      </w:hyperlink>
    </w:p>
    <w:p>
      <w:pPr>
        <w:spacing w:before="240" w:after="240"/>
        <w:rPr>
          <w:lang w:val="el" w:eastAsia="el"/>
        </w:rPr>
      </w:pPr>
      <w:r>
        <w:rPr>
          <w:lang w:val="el" w:eastAsia="el"/>
        </w:rPr>
        <w:t xml:space="preserve">ΘΕΜΑ: Εντυπα εφαρμογής της Σύμβασης Αποφυγής της Διπλής Φορολογίας μεταξύ Ελλάδος – Καναδά. </w:t>
      </w:r>
      <w:r>
        <w:rPr>
          <w:lang w:val="el" w:eastAsia="el"/>
        </w:rPr>
        <w:t>(</w:t>
      </w:r>
      <w:r>
        <w:rPr>
          <w:lang w:val="el" w:eastAsia="el"/>
        </w:rPr>
        <w:t>ν</w:t>
      </w:r>
      <w:r>
        <w:rPr>
          <w:lang w:val="el" w:eastAsia="el"/>
        </w:rPr>
        <w:t xml:space="preserve"> 3824, </w:t>
      </w:r>
      <w:r>
        <w:rPr>
          <w:lang w:val="el" w:eastAsia="el"/>
        </w:rPr>
        <w:t xml:space="preserve">φεκ </w:t>
      </w:r>
      <w:r>
        <w:rPr>
          <w:lang w:val="el" w:eastAsia="el"/>
        </w:rPr>
        <w:t>α΄</w:t>
      </w:r>
      <w:r>
        <w:rPr>
          <w:lang w:val="el" w:eastAsia="el"/>
        </w:rPr>
        <w:t xml:space="preserve"> 27/25.02.2010)</w:t>
      </w:r>
    </w:p>
    <w:p>
      <w:pPr>
        <w:spacing w:before="240" w:after="240"/>
        <w:rPr>
          <w:lang w:val="el" w:eastAsia="el"/>
        </w:rPr>
      </w:pPr>
      <w:r>
        <w:rPr>
          <w:lang w:val="el" w:eastAsia="el"/>
        </w:rPr>
        <w:t>Σχετικά με το ανωτέρω θέμα, και στα πλαίσια εφαρμογής της εν θέματι Σύμβασης</w:t>
      </w:r>
    </w:p>
    <w:p>
      <w:pPr>
        <w:spacing w:before="240" w:after="240"/>
        <w:rPr>
          <w:lang w:val="el" w:eastAsia="el"/>
        </w:rPr>
      </w:pPr>
      <w:r>
        <w:rPr>
          <w:lang w:val="el" w:eastAsia="el"/>
        </w:rPr>
        <w:t>Αποφυγής της Διπλής Φορολογίας, σας ενημερώνουμε για τα ακόλουθα:</w:t>
      </w:r>
    </w:p>
    <w:p>
      <w:pPr>
        <w:spacing w:before="240" w:after="240"/>
        <w:rPr>
          <w:lang w:val="el" w:eastAsia="el"/>
        </w:rPr>
      </w:pPr>
      <w:r>
        <w:rPr>
          <w:lang w:val="el" w:eastAsia="el"/>
        </w:rPr>
        <w:t xml:space="preserve">Α) Εντυπο εφαρμογής της ΣΑΔΦ Ελλάδος - Καναδά και φόρμα αιτήσεως για επιστροφή φόρου για </w:t>
      </w:r>
      <w:r>
        <w:rPr>
          <w:b/>
          <w:bCs/>
          <w:lang w:val="el" w:eastAsia="el"/>
        </w:rPr>
        <w:t>φορολογικούς κατοίκους Καναδά που εισπράττουν εισόδημα ή/και ωφέλεια από κεφάλαιο από την Ελλάδα, ή έχουν κεφάλαιο στην Ελλάδα</w:t>
      </w:r>
      <w:r>
        <w:rPr>
          <w:lang w:val="el" w:eastAsia="el"/>
        </w:rPr>
        <w:t>.</w:t>
      </w:r>
    </w:p>
    <w:p>
      <w:pPr>
        <w:spacing w:before="240" w:after="240"/>
        <w:rPr>
          <w:lang w:val="el" w:eastAsia="el"/>
        </w:rPr>
      </w:pPr>
      <w:r>
        <w:rPr>
          <w:lang w:val="el" w:eastAsia="el"/>
        </w:rPr>
        <w:t xml:space="preserve">Το έντυπο για την αίτηση εφαρμογής, και το έντυπο για την ετήσια αίτηση για επιστροφή παρακρατούμενου φόρου οι οποίες θα χρησιμοποιούνται στην περίπτωση αυτή επισυνάπτονται στο παρόν έγγραφο στην Ελληνική-Αγγλική γλώσσα, και Ελληνική-Γαλλική γλώσσα, και μπορούν να βρεθούν στην ηλεκτρονική δ/νση </w:t>
      </w:r>
      <w:hyperlink r:id="rId6" w:history="1">
        <w:r>
          <w:rPr>
            <w:rStyle w:val="Hyperlink"/>
            <w:color w:val="0000EE"/>
            <w:u w:color="0000EE"/>
            <w:lang w:val="el" w:eastAsia="el"/>
          </w:rPr>
          <w:t>www.gsis.gr/ddos/c_en.html</w:t>
        </w:r>
      </w:hyperlink>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lang w:val="el" w:eastAsia="el"/>
        </w:rPr>
        <w:t>Οι Καναδικές φορολογικές Αρχές θα συμπληρώνουν, υπογράφουν και σφραγίζουν το πεδίο</w:t>
      </w:r>
    </w:p>
    <w:p>
      <w:pPr>
        <w:spacing w:before="240" w:after="240"/>
        <w:rPr>
          <w:lang w:val="el" w:eastAsia="el"/>
        </w:rPr>
      </w:pPr>
      <w:r>
        <w:rPr>
          <w:lang w:val="el" w:eastAsia="el"/>
        </w:rPr>
        <w:t>« Πιστοποιητικό της Φορολογικής Αρχής της χώρας κατοικίας του δικαιούχου του εισοδήματος» στην περίπτωση των αιτήσεων εφαρμογής, και το αντίστοιχο πεδίο «Πιστοποιητικό της αρμόδιας φορολογικής αρχής της χώρας κατοικίας του αιτούντος» στην περίπτωση των αιτήσεων επιστροφής φόρου.</w:t>
      </w:r>
    </w:p>
    <w:p>
      <w:pPr>
        <w:spacing w:before="240" w:after="240"/>
        <w:rPr>
          <w:lang w:val="el" w:eastAsia="el"/>
        </w:rPr>
      </w:pPr>
      <w:r>
        <w:rPr>
          <w:lang w:val="el" w:eastAsia="el"/>
        </w:rPr>
        <w:t xml:space="preserve">Τα έντυπα αυτά για τους </w:t>
      </w:r>
      <w:r>
        <w:rPr>
          <w:u w:val="single"/>
          <w:lang w:val="el" w:eastAsia="el"/>
        </w:rPr>
        <w:t>φορολογικούς κατοίκους Καναδά</w:t>
      </w:r>
      <w:r>
        <w:rPr>
          <w:lang w:val="el" w:eastAsia="el"/>
        </w:rPr>
        <w:t xml:space="preserve"> θα υπογράφονται και σφραγίζονται σε μία από τις ακόλουθες πέντε φορολογικές Υπηρεσίες (</w:t>
      </w:r>
      <w:r>
        <w:rPr>
          <w:b/>
          <w:bCs/>
          <w:lang w:val="el" w:eastAsia="el"/>
        </w:rPr>
        <w:t>Tax Services Offices</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0"/>
        <w:gridCol w:w="56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 του Καναδά που καλύπτει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Nova Scotia Tax Service Office (T.S.O)</w:t>
            </w:r>
          </w:p>
          <w:p>
            <w:pPr>
              <w:spacing w:before="240" w:after="240"/>
              <w:rPr>
                <w:b w:val="0"/>
                <w:bCs w:val="0"/>
                <w:i w:val="0"/>
                <w:iCs w:val="0"/>
                <w:smallCaps w:val="0"/>
                <w:color w:val="000000"/>
                <w:lang w:val="el" w:eastAsia="el"/>
              </w:rPr>
            </w:pPr>
            <w:r>
              <w:rPr>
                <w:b w:val="0"/>
                <w:bCs w:val="0"/>
                <w:i w:val="0"/>
                <w:iCs w:val="0"/>
                <w:smallCaps w:val="0"/>
                <w:color w:val="000000"/>
                <w:lang w:val="el" w:eastAsia="el"/>
              </w:rPr>
              <w:t>Ralston Building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1557 Hollis Street</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Post Office Box 638</w:t>
            </w:r>
          </w:p>
          <w:p>
            <w:pPr>
              <w:spacing w:before="240"/>
              <w:rPr>
                <w:b w:val="0"/>
                <w:bCs w:val="0"/>
                <w:i w:val="0"/>
                <w:iCs w:val="0"/>
                <w:smallCaps w:val="0"/>
                <w:color w:val="000000"/>
                <w:lang w:val="el" w:eastAsia="el"/>
              </w:rPr>
            </w:pPr>
            <w:r>
              <w:rPr>
                <w:b w:val="0"/>
                <w:bCs w:val="0"/>
                <w:i w:val="0"/>
                <w:iCs w:val="0"/>
                <w:smallCaps w:val="0"/>
                <w:color w:val="000000"/>
                <w:lang w:val="el" w:eastAsia="el"/>
              </w:rPr>
              <w:t>Halifax, NS B3J 2T5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Newfoundland &amp; Labrador, New Brunswick,</w:t>
            </w:r>
          </w:p>
          <w:p>
            <w:pPr>
              <w:spacing w:before="240"/>
              <w:rPr>
                <w:b w:val="0"/>
                <w:bCs w:val="0"/>
                <w:i w:val="0"/>
                <w:iCs w:val="0"/>
                <w:smallCaps w:val="0"/>
                <w:color w:val="000000"/>
                <w:lang w:val="el" w:eastAsia="el"/>
              </w:rPr>
            </w:pPr>
            <w:r>
              <w:rPr>
                <w:b w:val="0"/>
                <w:bCs w:val="0"/>
                <w:i w:val="0"/>
                <w:iCs w:val="0"/>
                <w:smallCaps w:val="0"/>
                <w:color w:val="000000"/>
                <w:lang w:val="el" w:eastAsia="el"/>
              </w:rPr>
              <w:t>Nova Scotia and Prince Edward Island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Montreal T.S.O</w:t>
            </w:r>
          </w:p>
          <w:p>
            <w:pPr>
              <w:spacing w:before="240" w:after="240"/>
              <w:rPr>
                <w:b w:val="0"/>
                <w:bCs w:val="0"/>
                <w:i w:val="0"/>
                <w:iCs w:val="0"/>
                <w:smallCaps w:val="0"/>
                <w:color w:val="000000"/>
                <w:lang w:val="el" w:eastAsia="el"/>
              </w:rPr>
            </w:pPr>
            <w:r>
              <w:rPr>
                <w:b w:val="0"/>
                <w:bCs w:val="0"/>
                <w:i w:val="0"/>
                <w:iCs w:val="0"/>
                <w:smallCaps w:val="0"/>
                <w:color w:val="000000"/>
                <w:lang w:val="el" w:eastAsia="el"/>
              </w:rPr>
              <w:t>305 Renè – Lèvesque Boulevard West</w:t>
            </w:r>
          </w:p>
          <w:p>
            <w:pPr>
              <w:spacing w:before="240"/>
              <w:rPr>
                <w:b w:val="0"/>
                <w:bCs w:val="0"/>
                <w:i w:val="0"/>
                <w:iCs w:val="0"/>
                <w:smallCaps w:val="0"/>
                <w:color w:val="000000"/>
                <w:lang w:val="el" w:eastAsia="el"/>
              </w:rPr>
            </w:pPr>
            <w:r>
              <w:rPr>
                <w:b w:val="0"/>
                <w:bCs w:val="0"/>
                <w:i w:val="0"/>
                <w:iCs w:val="0"/>
                <w:smallCaps w:val="0"/>
                <w:color w:val="000000"/>
                <w:lang w:val="el" w:eastAsia="el"/>
              </w:rPr>
              <w:t>Montrèal, QC H2Z 1A6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Quebec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London T.S.O</w:t>
            </w:r>
          </w:p>
          <w:p>
            <w:pPr>
              <w:spacing w:before="240" w:after="240"/>
              <w:rPr>
                <w:b w:val="0"/>
                <w:bCs w:val="0"/>
                <w:i w:val="0"/>
                <w:iCs w:val="0"/>
                <w:smallCaps w:val="0"/>
                <w:color w:val="000000"/>
                <w:lang w:val="el" w:eastAsia="el"/>
              </w:rPr>
            </w:pPr>
            <w:r>
              <w:rPr>
                <w:b w:val="0"/>
                <w:bCs w:val="0"/>
                <w:i w:val="0"/>
                <w:iCs w:val="0"/>
                <w:smallCaps w:val="0"/>
                <w:color w:val="000000"/>
                <w:lang w:val="el" w:eastAsia="el"/>
              </w:rPr>
              <w:t>451 Talbot Street</w:t>
            </w:r>
          </w:p>
          <w:p>
            <w:pPr>
              <w:spacing w:before="240"/>
              <w:rPr>
                <w:b w:val="0"/>
                <w:bCs w:val="0"/>
                <w:i w:val="0"/>
                <w:iCs w:val="0"/>
                <w:smallCaps w:val="0"/>
                <w:color w:val="000000"/>
                <w:lang w:val="el" w:eastAsia="el"/>
              </w:rPr>
            </w:pPr>
            <w:r>
              <w:rPr>
                <w:b w:val="0"/>
                <w:bCs w:val="0"/>
                <w:i w:val="0"/>
                <w:iCs w:val="0"/>
                <w:smallCaps w:val="0"/>
                <w:color w:val="000000"/>
                <w:lang w:val="el" w:eastAsia="el"/>
              </w:rPr>
              <w:t>London, ON N6A 5E5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Ontario and Nunavut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Regina T.S.O</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Post Office Box 557</w:t>
            </w:r>
          </w:p>
          <w:p>
            <w:pPr>
              <w:spacing w:before="240"/>
              <w:rPr>
                <w:b w:val="0"/>
                <w:bCs w:val="0"/>
                <w:i w:val="0"/>
                <w:iCs w:val="0"/>
                <w:smallCaps w:val="0"/>
                <w:color w:val="000000"/>
                <w:lang w:val="el" w:eastAsia="el"/>
              </w:rPr>
            </w:pPr>
            <w:r>
              <w:rPr>
                <w:b w:val="0"/>
                <w:bCs w:val="0"/>
                <w:i w:val="0"/>
                <w:iCs w:val="0"/>
                <w:smallCaps w:val="0"/>
                <w:color w:val="000000"/>
                <w:lang w:val="el" w:eastAsia="el"/>
              </w:rPr>
              <w:t>Regina, SK S4P 3A3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Manitoba, Saskatchewan, Alberta and Northwest Territories.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Burnaby Fraser TSO</w:t>
            </w:r>
          </w:p>
          <w:p>
            <w:pPr>
              <w:spacing w:before="240" w:after="240"/>
              <w:rPr>
                <w:b w:val="0"/>
                <w:bCs w:val="0"/>
                <w:i w:val="0"/>
                <w:iCs w:val="0"/>
                <w:smallCaps w:val="0"/>
                <w:color w:val="000000"/>
                <w:lang w:val="el" w:eastAsia="el"/>
              </w:rPr>
            </w:pPr>
            <w:r>
              <w:rPr>
                <w:b w:val="0"/>
                <w:bCs w:val="0"/>
                <w:i w:val="0"/>
                <w:iCs w:val="0"/>
                <w:smallCaps w:val="0"/>
                <w:color w:val="000000"/>
                <w:lang w:val="el" w:eastAsia="el"/>
              </w:rPr>
              <w:t>9737 King George Boulevard</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Post Office Box 9070, Station Main</w:t>
            </w:r>
          </w:p>
          <w:p>
            <w:pPr>
              <w:spacing w:before="240"/>
              <w:rPr>
                <w:b w:val="0"/>
                <w:bCs w:val="0"/>
                <w:i w:val="0"/>
                <w:iCs w:val="0"/>
                <w:smallCaps w:val="0"/>
                <w:color w:val="000000"/>
                <w:lang w:val="el" w:eastAsia="el"/>
              </w:rPr>
            </w:pPr>
            <w:r>
              <w:rPr>
                <w:b w:val="0"/>
                <w:bCs w:val="0"/>
                <w:i w:val="0"/>
                <w:iCs w:val="0"/>
                <w:smallCaps w:val="0"/>
                <w:color w:val="000000"/>
                <w:lang w:val="el" w:eastAsia="el"/>
              </w:rPr>
              <w:t>Surrey, BC V3T 5W6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Columbia and Yukon</w:t>
            </w:r>
          </w:p>
        </w:tc>
      </w:tr>
    </w:tbl>
    <w:p>
      <w:pPr>
        <w:spacing w:before="240" w:after="240"/>
        <w:rPr>
          <w:lang w:val="el" w:eastAsia="el"/>
        </w:rPr>
      </w:pPr>
      <w:r>
        <w:rPr>
          <w:lang w:val="el" w:eastAsia="el"/>
        </w:rPr>
        <w:t xml:space="preserve">Σημειώνεται ότι οι περιοχές που αναφέρουμε ανωτέρω καλύπτουν τεράστια έκταση και περιλαμβάνουν </w:t>
      </w:r>
      <w:r>
        <w:rPr>
          <w:u w:val="single"/>
          <w:lang w:val="el" w:eastAsia="el"/>
        </w:rPr>
        <w:t>μεγάλο αριθμό πόλεων η κάθε μία</w:t>
      </w:r>
      <w:r>
        <w:rPr>
          <w:lang w:val="el" w:eastAsia="el"/>
        </w:rPr>
        <w:t>.</w:t>
      </w:r>
    </w:p>
    <w:p>
      <w:pPr>
        <w:spacing w:before="240" w:after="240"/>
        <w:rPr>
          <w:lang w:val="el" w:eastAsia="el"/>
        </w:rPr>
      </w:pPr>
      <w:r>
        <w:rPr>
          <w:lang w:val="el" w:eastAsia="el"/>
        </w:rPr>
        <w:t xml:space="preserve">Β) Η </w:t>
      </w:r>
      <w:r>
        <w:rPr>
          <w:b/>
          <w:bCs/>
          <w:lang w:val="el" w:eastAsia="el"/>
        </w:rPr>
        <w:t xml:space="preserve">σφραγίδα </w:t>
      </w:r>
      <w:r>
        <w:rPr>
          <w:lang w:val="el" w:eastAsia="el"/>
        </w:rPr>
        <w:t>η οποία χρησιμοποιείται από τις Καναδικές φορολογικές Αρχές είναι η ίδια σε όλη την επικράτεια δείγμα της οποίας επισυνάπτεται.</w:t>
      </w:r>
    </w:p>
    <w:p>
      <w:pPr>
        <w:spacing w:before="240" w:after="240"/>
        <w:rPr>
          <w:lang w:val="el" w:eastAsia="el"/>
        </w:rPr>
      </w:pPr>
      <w:r>
        <w:rPr>
          <w:lang w:val="el" w:eastAsia="el"/>
        </w:rPr>
        <w:t xml:space="preserve">Γ) Σημειώνεται ότι, σε περίπτωση που </w:t>
      </w:r>
      <w:r>
        <w:rPr>
          <w:u w:val="single"/>
          <w:lang w:val="el" w:eastAsia="el"/>
        </w:rPr>
        <w:t xml:space="preserve">Καναδικές </w:t>
      </w:r>
      <w:r>
        <w:rPr>
          <w:b/>
          <w:bCs/>
          <w:u w:val="single"/>
          <w:lang w:val="el" w:eastAsia="el"/>
        </w:rPr>
        <w:t xml:space="preserve">προσωπικές εταιρείες </w:t>
      </w:r>
      <w:r>
        <w:rPr>
          <w:u w:val="single"/>
          <w:lang w:val="el" w:eastAsia="el"/>
        </w:rPr>
        <w:t xml:space="preserve">αποκτούν εισόδημα ή/και ωφέλεια από κεφάλαιο από την Ελλάδα, ή έχουν κεφάλαιο στην Ελλάδα, </w:t>
      </w:r>
      <w:r>
        <w:rPr>
          <w:lang w:val="el" w:eastAsia="el"/>
        </w:rPr>
        <w:t xml:space="preserve">θα ζητείται να προσκομιστεί στην αρμόδια ΔΟΥ </w:t>
      </w:r>
      <w:r>
        <w:rPr>
          <w:u w:val="single"/>
          <w:lang w:val="el" w:eastAsia="el"/>
        </w:rPr>
        <w:t>για το αντίστοιχο οικονομικό έτος</w:t>
      </w:r>
      <w:r>
        <w:rPr>
          <w:lang w:val="el" w:eastAsia="el"/>
        </w:rPr>
        <w:t xml:space="preserve"> το έντυπο </w:t>
      </w:r>
      <w:r>
        <w:rPr>
          <w:u w:val="single"/>
          <w:lang w:val="el" w:eastAsia="el"/>
        </w:rPr>
        <w:t>T 5013 STATEMENT OF PARTNERSHIP INCOME, ÉTAT DES REVENUS D'UNE SOCIÉTÉ DE PERSONNES</w:t>
      </w:r>
      <w:r>
        <w:rPr>
          <w:lang w:val="el" w:eastAsia="el"/>
        </w:rPr>
        <w:t xml:space="preserve"> (επισυνάπτεται) </w:t>
      </w:r>
      <w:r>
        <w:rPr>
          <w:rStyle w:val="Hyperlink"/>
          <w:color w:val="000000"/>
          <w:sz w:val="20"/>
          <w:szCs w:val="20"/>
          <w:u w:val="none" w:color="0000EE"/>
          <w:vertAlign w:val="superscript"/>
          <w:lang w:val="el" w:eastAsia="el"/>
        </w:rPr>
        <w:footnoteReference w:id="3"/>
      </w:r>
      <w:r>
        <w:rPr>
          <w:lang w:val="el" w:eastAsia="el"/>
        </w:rPr>
        <w:t xml:space="preserve">από όλους τους εταίρους της προσωπικής εταιρείας που είναι φορολογικοί κάτοικοι Καναδά. Το ποσοστό των εταιρικών μεριδίων που κατέχεται από φορολογικούς κατοίκους Καναδά θα αναφέρεται στο </w:t>
      </w:r>
      <w:r>
        <w:rPr>
          <w:u w:val="single"/>
          <w:lang w:val="el" w:eastAsia="el"/>
        </w:rPr>
        <w:t>πεδίο 10 του ανωτέρω εντύπου T 5013</w:t>
      </w:r>
      <w:r>
        <w:rPr>
          <w:lang w:val="el" w:eastAsia="el"/>
        </w:rPr>
        <w:t>. Σε περίπτωση που το ανωτέρω έντυπο δεν έχει ακόμα υποβληθεί στο αντίστοιχο οικονομικό έτος, τότε θα ζητείται να προσκομιστεί άλλη απόδειξη, (κυρίως καταστατικό ίδρυσης της προσωπικής εταιρείας και νεότερες τροποποιήσεις μεταφρασμένο στην Ελληνική γλώσσα από αρμόδια Αρχή), από όπου θα προκύπτει το ποσοστό των εταιρικών μεριδίων που κατέχεται από Καναδούς φορολογικούς κατοίκους.</w:t>
      </w:r>
    </w:p>
    <w:p>
      <w:pPr>
        <w:spacing w:before="240" w:after="240"/>
        <w:rPr>
          <w:lang w:val="el" w:eastAsia="el"/>
        </w:rPr>
      </w:pPr>
      <w:r>
        <w:rPr>
          <w:lang w:val="el" w:eastAsia="el"/>
        </w:rPr>
        <w:t>Κατόπιν των ανωτέρω παρακαλούμε για την ορθή εφαρμογή των διατάξεων της Σύμβασης Αποφυγής της Διπλής Φορολογίας μεταξύ της Ελλάδας και της εν΄ λόγω χώρας.</w:t>
      </w:r>
    </w:p>
    <w:p>
      <w:pPr>
        <w:spacing w:before="240" w:after="240"/>
        <w:rPr>
          <w:lang w:val="el" w:eastAsia="el"/>
        </w:rPr>
      </w:pPr>
      <w:r>
        <w:rPr>
          <w:lang w:val="el" w:eastAsia="el"/>
        </w:rPr>
        <w:t>H αναπληρώτρια Δ/ντρια της Δ/νσης</w:t>
      </w:r>
    </w:p>
    <w:p>
      <w:pPr>
        <w:spacing w:before="240" w:after="240"/>
        <w:rPr>
          <w:lang w:val="el" w:eastAsia="el"/>
        </w:rPr>
      </w:pPr>
      <w:r>
        <w:rPr>
          <w:lang w:val="el" w:eastAsia="el"/>
        </w:rPr>
        <w:t>Σ. Πιτένη</w:t>
      </w:r>
    </w:p>
    <w:p>
      <w:pPr>
        <w:spacing w:before="240" w:after="240"/>
        <w:rPr>
          <w:lang w:val="el" w:eastAsia="el"/>
        </w:rPr>
      </w:pPr>
      <w:r>
        <w:rPr>
          <w:b/>
          <w:bCs/>
          <w:lang w:val="el" w:eastAsia="el"/>
        </w:rPr>
        <w:t>Ακριβές αντίγραφο</w:t>
      </w:r>
    </w:p>
    <w:p>
      <w:pPr>
        <w:spacing w:before="240" w:after="240"/>
        <w:rPr>
          <w:lang w:val="el" w:eastAsia="el"/>
        </w:rPr>
      </w:pPr>
      <w:r>
        <w:rPr>
          <w:lang w:val="el" w:eastAsia="el"/>
        </w:rPr>
        <w:t>Η Προισταμένη της Γραμματείας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Δ/νση Δ.Ο.Σ – Τμήμα Α΄(2)</w:t>
      </w:r>
    </w:p>
    <w:p>
      <w:pPr>
        <w:spacing w:before="240" w:after="240"/>
        <w:rPr>
          <w:lang w:val="el" w:eastAsia="el"/>
        </w:rPr>
      </w:pPr>
      <w:r>
        <w:rPr>
          <w:lang w:val="el" w:eastAsia="el"/>
        </w:rPr>
        <w:t>Δ/νση Φορολογίας Εισοδήματος – Τμήματα Α’(10), Β’(10)</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1. Δ/νσεις, Τμήματα και Αυτοτελή Γραφεία Κ.Υ.</w:t>
      </w:r>
    </w:p>
    <w:p>
      <w:pPr>
        <w:spacing w:before="240" w:after="240"/>
        <w:rPr>
          <w:lang w:val="el" w:eastAsia="el"/>
        </w:rPr>
      </w:pPr>
      <w:r>
        <w:rPr>
          <w:lang w:val="el" w:eastAsia="el"/>
        </w:rPr>
        <w:t>2) Αποδέκτες Πίνακα Β, εκτός του υπ’ αριθ 2 αυτού.</w:t>
      </w:r>
    </w:p>
    <w:p>
      <w:pPr>
        <w:spacing w:before="240" w:after="240"/>
        <w:rPr>
          <w:lang w:val="el" w:eastAsia="el"/>
        </w:rPr>
      </w:pPr>
      <w:r>
        <w:rPr>
          <w:lang w:val="el" w:eastAsia="el"/>
        </w:rPr>
        <w:t>3) Οικονομικές Επιθεωρήσεις</w:t>
      </w:r>
    </w:p>
    <w:p>
      <w:pPr>
        <w:spacing w:before="240" w:after="240"/>
        <w:rPr>
          <w:lang w:val="el" w:eastAsia="el"/>
        </w:rPr>
      </w:pPr>
      <w:r>
        <w:rPr>
          <w:lang w:val="el" w:eastAsia="el"/>
        </w:rPr>
        <w:t>4) ΣΔΟΕ (Κεντρική και Περιφειακές Δ/νσεις.</w:t>
      </w:r>
    </w:p>
    <w:p>
      <w:pPr>
        <w:spacing w:before="240" w:after="240"/>
        <w:rPr>
          <w:lang w:val="el" w:eastAsia="el"/>
        </w:rPr>
      </w:pPr>
      <w:r>
        <w:rPr>
          <w:lang w:val="el" w:eastAsia="el"/>
        </w:rPr>
        <w:t>5) Υπουργείο Εξωτερικών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Β4 Δ/νση Οικονομικών Σχέσεων</w:t>
      </w:r>
    </w:p>
    <w:p>
      <w:pPr>
        <w:spacing w:before="240" w:after="240"/>
        <w:rPr>
          <w:lang w:val="el" w:eastAsia="el"/>
        </w:rPr>
      </w:pPr>
      <w:r>
        <w:rPr>
          <w:lang w:val="el" w:eastAsia="el"/>
        </w:rPr>
        <w:t>με Βορ. Αμερική, Ιαπωνία Ωκεανία, Ελβετία,</w:t>
      </w:r>
    </w:p>
    <w:p>
      <w:pPr>
        <w:spacing w:before="240" w:after="240"/>
        <w:rPr>
          <w:lang w:val="el" w:eastAsia="el"/>
        </w:rPr>
      </w:pPr>
      <w:r>
        <w:rPr>
          <w:lang w:val="el" w:eastAsia="el"/>
        </w:rPr>
        <w:t>Ε.Ε., και ΕΟΧ</w:t>
      </w:r>
    </w:p>
    <w:p>
      <w:pPr>
        <w:spacing w:before="240" w:after="240"/>
        <w:rPr>
          <w:lang w:val="el" w:eastAsia="el"/>
        </w:rPr>
      </w:pPr>
      <w:r>
        <w:rPr>
          <w:lang w:val="el" w:eastAsia="el"/>
        </w:rPr>
        <w:t>Βαλαωρίτου 17</w:t>
      </w:r>
    </w:p>
    <w:p>
      <w:pPr>
        <w:spacing w:before="240" w:after="240"/>
        <w:rPr>
          <w:lang w:val="el" w:eastAsia="el"/>
        </w:rPr>
      </w:pPr>
      <w:r>
        <w:rPr>
          <w:lang w:val="el" w:eastAsia="el"/>
        </w:rPr>
        <w:t>10671 Αθήνα</w:t>
      </w:r>
    </w:p>
    <w:p>
      <w:pPr>
        <w:spacing w:before="240" w:after="240"/>
        <w:rPr>
          <w:lang w:val="el" w:eastAsia="el"/>
        </w:rPr>
      </w:pPr>
      <w:r>
        <w:rPr>
          <w:b/>
          <w:bCs/>
          <w:lang w:val="el" w:eastAsia="el"/>
        </w:rPr>
        <w:t>Κοινοποίηση στα προξενικά γραφεία Καναδά μέσω ΥΠΕΞ</w:t>
      </w:r>
      <w:r>
        <w:rPr>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Τμήμα </w:t>
      </w:r>
      <w:r>
        <w:rPr>
          <w:lang w:val="el" w:eastAsia="el"/>
        </w:rPr>
        <w:t xml:space="preserve">«Έντυπα σχετικά με Συμβάσεις Αποφυγής Διπλής Φορολογίας», ΑΙΤΗΣΗ ΕΦΑΡΜΟΓΗΣ, ΑΛΛΕΣ ΧΩΡΕΣ, </w:t>
      </w:r>
      <w:r>
        <w:rPr>
          <w:b/>
          <w:bCs/>
          <w:lang w:val="el" w:eastAsia="el"/>
        </w:rPr>
        <w:t xml:space="preserve">Τμήμα </w:t>
      </w:r>
      <w:r>
        <w:rPr>
          <w:lang w:val="el" w:eastAsia="el"/>
        </w:rPr>
        <w:t xml:space="preserve">«Έντυπα σχετικά με Συμβάσεις Αποφυγής Διπλής Φορολογίας», ΑΙΤΗΣΗ ΕΦΑΡΜΟΓΗΣ, ΒΕΛΓΙΟ-ΓΑΛΛΙΑ, </w:t>
      </w:r>
      <w:r>
        <w:rPr>
          <w:b/>
          <w:bCs/>
          <w:lang w:val="el" w:eastAsia="el"/>
        </w:rPr>
        <w:t xml:space="preserve">Τμήμα </w:t>
      </w:r>
      <w:r>
        <w:rPr>
          <w:lang w:val="el" w:eastAsia="el"/>
        </w:rPr>
        <w:t xml:space="preserve">«Έντυπα σχετικά με Συμβάσεις Αποφυγής Διπλής Φορολογίας», ΑΙΤΗΣΗ ΕΠΙΣΤΡΟΦΗΣ, ΑΛΛΕΣ ΧΩΡΕΣ και </w:t>
      </w:r>
      <w:r>
        <w:rPr>
          <w:b/>
          <w:bCs/>
          <w:lang w:val="el" w:eastAsia="el"/>
        </w:rPr>
        <w:t xml:space="preserve">Τμήμα </w:t>
      </w:r>
      <w:r>
        <w:rPr>
          <w:lang w:val="el" w:eastAsia="el"/>
        </w:rPr>
        <w:t>«Έντυπα σχετικά με Συμβάσεις Αποφυγής Διπλής Φορολογίας», ΑΙΤΗΣΗ ΕΠΙΣΤΡΟΦΗΣ, ΒΕΛΓΙΟ-ΓΑΛΛΙΑ.</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επίσης στη ηλ/κή δ/νση </w:t>
      </w:r>
      <w:hyperlink r:id="rId1" w:history="1">
        <w:r>
          <w:rPr>
            <w:rStyle w:val="Hyperlink"/>
            <w:color w:val="0000EE"/>
            <w:u w:color="0000EE"/>
            <w:lang w:val="el" w:eastAsia="el"/>
          </w:rPr>
          <w:t>http://www.cra-arc.gc.ca/E/pbg/tf/t5013/t5013-flat-11b.pdf</w:t>
        </w:r>
      </w:hyperlink>
      <w:r>
        <w:rPr>
          <w:lang w:val="el" w:eastAsia="e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ypoik@otenet.gr" TargetMode="External" /><Relationship Id="rId6" Type="http://schemas.openxmlformats.org/officeDocument/2006/relationships/hyperlink" Target="http://www.gsis.gr/ddos/c_en.html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cra-arc.gc.ca/E/pbg/tf/t5013/t5013-flat-11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