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ΑΔΑ: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 14 Ιανουαρίου 2013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Αριθ. Πρωτ. : Δ17Γ 5001468 ΕΞ2013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ΠΡΟΣ : Π.Δ.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Κοινοποίηση του Καν. (ΕE) αριθ. 1070/2012 της Επιτροπής της 14</w:t>
      </w:r>
      <w:r>
        <w:rPr>
          <w:b/>
          <w:bCs/>
          <w:sz w:val="30"/>
          <w:szCs w:val="30"/>
          <w:vertAlign w:val="superscript"/>
          <w:lang w:val="el" w:eastAsia="el"/>
        </w:rPr>
        <w:t>ης</w:t>
      </w:r>
      <w:r>
        <w:rPr>
          <w:b/>
          <w:bCs/>
          <w:lang w:val="el" w:eastAsia="el"/>
        </w:rPr>
        <w:t xml:space="preserve"> Νοεμβρίου 2012, για την τροποποίηση του Καν. (ΕΚ) αριθ. 2535/2001, όσον αφορά τις προτιμησιακές εισαγωγές, εκτός ποσόστωσης, γάλακτος και γαλακτοκομικών προϊόντων και την ποσόστωση για εισαγωγές γαλακτοκομικών προϊόντων καταγωγής Δημοκρατίας της Μολδαβίας.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Α. </w:t>
      </w:r>
      <w:r>
        <w:rPr>
          <w:lang w:val="el" w:eastAsia="el"/>
        </w:rPr>
        <w:t>Σας κοινοποιούμε για ενημέρωση και εφαρμογή, τον αναφερόμενο στο θέμα Κανονισμό που δημοσιεύθηκε στην Επίσημη Εφημερίδα της Ευρωπαϊκής Ένωσης (L318/15-11-2012).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Με τον κοινοποιούμενο Κανονισμό τροποποιείται ο Καν. (ΕΚ) 2535/2001 αναφορικά με τις προτιμησιακές εισαγωγές εκτός ποσοστώσεων βάσει μόνο του πιστοποιητικού εισαγωγής και το Παράρτημα Ι μέρος Ι του ιδίου Κανονισμού «Δασμολογική Ποσόστωση στο πλαίσιο του Παραρτήματος Ι του Κανονισμού (ΕΚ) 55/2008».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Ειδικότερα, στον Καν. (ΕΚ) αριθ. 2535/2001 επέρχονται οι κατωτέρω τροποποιήσεις: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⮚ Ο τίτλος 2 κεφάλαιο ΙΙ αντικαθίσταται από το κείμενο της παραγράφου (1), του άρθρου 1 του κοινοποιούμενου Κανονισμού,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⮚ Στο Παράρτημα Ι, το μέρος Ι αντικαθίσταται από το κείμενο που παρατίθεται στο Παράρτημα του κοινοποιούμενου Kανονισμού και </w:t>
      </w:r>
      <w:r>
        <w:rPr>
          <w:b/>
          <w:bCs/>
          <w:lang w:val="el" w:eastAsia="el"/>
        </w:rPr>
        <w:t>αφορά στα προϊόντα των δασμολογικών κλάσεων 0401 έως 0406 καταγωγής της Δημοκρατίας της Μολδαβίας, με κωδικό ποσόστωσης 09.4210.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 xml:space="preserve">Τέλος, σας γνωρίζουμε ότι λόγω του πλήθους των τροποποιήσεων του Καν. (ΕΚ) αριθ. 2535/2001 μπορείτε να αναζητήσετε το ενοποιημένο κείμενο αυτού στην Επίσημη Εφημερίδα της Ε.Ε., μέσω της ιστοσελίδας </w:t>
      </w: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http://eur-lex.europa.eu</w:t>
        </w:r>
      </w:hyperlink>
      <w:r>
        <w:rPr>
          <w:lang w:val="el" w:eastAsia="el"/>
        </w:rPr>
        <w:t>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κοινοποιούμενος Κανονισμός αρχίζει να ισχύει την τρίτη ημέρα από τη δημοσίευσή του στην Επίσημη Εφημερίδα της Ευρωπαϊκής Ένωσης.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ΠΡΟΪΣΤΑΜΕΝΗ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της ΔΙΕΥΘΥΝΣΗΣ α.α.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ΜΑΡΙΑ ΛΥΡΑΚΗ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Α. </w:t>
      </w:r>
      <w:r>
        <w:rPr>
          <w:b/>
          <w:bCs/>
          <w:u w:val="single"/>
          <w:lang w:val="el" w:eastAsia="el"/>
        </w:rPr>
        <w:t>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Τελωνεία Α΄ και Β΄ Τάξης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Β. </w:t>
      </w:r>
      <w:r>
        <w:rPr>
          <w:b/>
          <w:bCs/>
          <w:u w:val="single"/>
          <w:lang w:val="el" w:eastAsia="el"/>
        </w:rPr>
        <w:t>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Τελωνειακές Περιφέρειες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ΔΙ.Π.Α.Ε. Πειραιά και Θεσ/νίκης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ΕΛΥΤ (Αττικής, Θεσ/νίκης)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Κεντρική Υπηρεσία και Περιφ/κές Δ/νσεις του ΣΔΟΕ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Δ/νση Επιθεώρησης Υπηρεσιών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Οικονομικές Επιθεωρήσεις (έδρες τους)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Γεν. Δ/νση Οικ/κής Επιθ/σης – Δ/νση Εποπτείας Εσωτ. Ελέγχου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Γενικό Χημείο του Κράτους – Δ/νση Χημικοτεχνική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Εμπορικά και Βιομηχανικά Επιμελητήρια (προς ενημέρωση των μελών τους)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Επαγγελματικά και Βιοτεχνικά Επιμελητήρια (προς ενημέρωση των μελών τους)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Πανελλήνιος Σύνδεσμος Ελλήνων Βιομηχάνων – 10552 Αθήνα– (προς ενημέρωση των μελών του)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12. Σύνδεσμος Εμπορικών Αντιπροσώπων Αθηνών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13. Σύνδεσμος Βιομηχάνων Β. Ελλάδος (προς ενημέρωση των μελών του)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14. Σύνδεσμος Εξαγωγέων Β. Ελλάδος (Πλ. Μοριχόβου 1, Θεσ/νίκη) (προς ενημέρωση των μελών του)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15. Ομοσπονδία Εκτελωνιστών Ελλάδος – Τσαμαδού 38 – ΠΕΙΡΑΙΑΣ (προς ενημέρωση των μελών της)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16. Σύλλογος Εκτελωνιστών Αθήνας – Πειραιά (προς ενημέρωση των μελών του)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17. Σύλλογος Εκτελωνιστών Θεσ/νίκης (προς ενημέρωση των μελών του)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18. Α.Ε.Τ.Α.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19. Π.Ε.Τ.Α. Πειραιά και Θεσ/νίκης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Γ. </w:t>
      </w:r>
      <w:r>
        <w:rPr>
          <w:b/>
          <w:bCs/>
          <w:u w:val="single"/>
          <w:lang w:val="el" w:eastAsia="el"/>
        </w:rPr>
        <w:t>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Δ/νσεις:3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- Τμήμα Δ΄, 19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- Τμήμα Α’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Δ/νση Διεθνών Οικ/κών Σχέσεων – Τμήμα Β΄ Τελωνειακών Θεμάτων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Δ/νση 17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: </w:t>
      </w:r>
      <w:r>
        <w:rPr>
          <w:b/>
          <w:bCs/>
          <w:lang w:val="el" w:eastAsia="el"/>
        </w:rPr>
        <w:t xml:space="preserve">α) </w:t>
      </w:r>
      <w:r>
        <w:rPr>
          <w:lang w:val="el" w:eastAsia="el"/>
        </w:rPr>
        <w:t>Γραφείο Προϊσταμένου Δ/νσης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Τμήματα Α, Γ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5. Γραφείο Επικοινωνίας και Πληροφόρησης Πολιτών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6. Γραφείο Τύπου και Δημοσίων Σχέσεων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eur-lex.europa.eu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