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ΔΗΜΟΚΡΛΤΙΛ ΥΠΟΥΡΓΕΙΟ ΟΙΚΟΝΟΜΙΚΩΝ</w:t>
      </w:r>
    </w:p>
    <w:p>
      <w:pPr>
        <w:pStyle w:val="Title"/>
        <w:spacing w:before="120" w:after="360"/>
        <w:rPr>
          <w:lang w:val="el" w:eastAsia="el"/>
        </w:rPr>
      </w:pPr>
      <w:r>
        <w:rPr>
          <w:b/>
          <w:bCs/>
          <w:lang w:val="el" w:eastAsia="el"/>
        </w:rPr>
        <w:t>ΓΕΝΙΚΗ ΓΡΛΜΜΛΤΕΙΛ ΔΗΜΟΣΙΩΝ ΕΣΟΔΩΝ ΓΕΝΙΚΗ ΔΙΕΥΘΥΝΣΗ ΦΟΡΟΛΟΓΙΛΣ</w:t>
      </w:r>
    </w:p>
    <w:p>
      <w:pPr>
        <w:pStyle w:val="Title"/>
        <w:spacing w:before="120" w:after="360"/>
        <w:rPr>
          <w:lang w:val="el" w:eastAsia="el"/>
        </w:rPr>
      </w:pPr>
      <w:r>
        <w:rPr>
          <w:b/>
          <w:bCs/>
          <w:lang w:val="el" w:eastAsia="el"/>
        </w:rPr>
        <w:t>Δ/ΝΣΗ ΦΟΡΟΛΟΓΙΛΣ ΚΕΦΛΛΛΙΟΥ</w:t>
      </w:r>
    </w:p>
    <w:p>
      <w:pPr>
        <w:pStyle w:val="Title"/>
        <w:spacing w:before="120" w:after="360"/>
        <w:rPr>
          <w:lang w:val="el" w:eastAsia="el"/>
        </w:rPr>
      </w:pPr>
      <w:r>
        <w:rPr>
          <w:b/>
          <w:bCs/>
          <w:lang w:val="el" w:eastAsia="el"/>
        </w:rPr>
        <w:t>ΤΜΗΜΛ Φ.Μ.Λ.Π. ΠΟΛ. 1049</w:t>
      </w:r>
    </w:p>
    <w:p>
      <w:pPr>
        <w:pStyle w:val="Title"/>
        <w:spacing w:before="120" w:after="360"/>
        <w:rPr>
          <w:lang w:val="el" w:eastAsia="el"/>
        </w:rPr>
      </w:pPr>
      <w:r>
        <w:rPr>
          <w:b/>
          <w:bCs/>
          <w:lang w:val="el" w:eastAsia="el"/>
        </w:rPr>
        <w:t>Ταχ. Δ/νση: Καρ. Σερβίας 8</w:t>
      </w:r>
    </w:p>
    <w:p>
      <w:pPr>
        <w:pStyle w:val="Title"/>
        <w:spacing w:before="120" w:after="360"/>
        <w:rPr>
          <w:lang w:val="el" w:eastAsia="el"/>
        </w:rPr>
      </w:pPr>
      <w:r>
        <w:rPr>
          <w:b/>
          <w:bCs/>
          <w:lang w:val="el" w:eastAsia="el"/>
        </w:rPr>
        <w:t>Ταχ. Κώδ.: 101 84 Λθήνα ΠΡΟΣ: Πίνακα Λποδεκτών</w:t>
      </w:r>
    </w:p>
    <w:p>
      <w:pPr>
        <w:pStyle w:val="Title"/>
        <w:spacing w:before="120" w:after="360"/>
        <w:rPr>
          <w:lang w:val="el" w:eastAsia="el"/>
        </w:rPr>
      </w:pPr>
      <w:r>
        <w:rPr>
          <w:b/>
          <w:bCs/>
          <w:lang w:val="el" w:eastAsia="el"/>
        </w:rPr>
        <w:t>Τηλέφωνο: 210 3375878</w:t>
      </w:r>
    </w:p>
    <w:p>
      <w:pPr>
        <w:pStyle w:val="Title"/>
        <w:spacing w:before="120" w:after="360"/>
        <w:rPr>
          <w:lang w:val="el" w:eastAsia="el"/>
        </w:rPr>
      </w:pPr>
      <w:r>
        <w:rPr>
          <w:b/>
          <w:bCs/>
          <w:lang w:val="el" w:eastAsia="el"/>
        </w:rPr>
        <w:t>ΕΛΧ: 210 3375834</w:t>
      </w:r>
    </w:p>
    <w:p>
      <w:pPr>
        <w:pStyle w:val="PreambelText"/>
        <w:spacing w:before="240" w:after="240"/>
        <w:rPr>
          <w:lang w:val="el" w:eastAsia="el"/>
        </w:rPr>
      </w:pPr>
      <w:r>
        <w:rPr>
          <w:b/>
          <w:bCs/>
          <w:lang w:val="el" w:eastAsia="el"/>
        </w:rPr>
        <w:t xml:space="preserve">e-mail: </w:t>
      </w:r>
      <w:hyperlink r:id="rId4" w:history="1">
        <w:r>
          <w:rPr>
            <w:rStyle w:val="Hyperlink"/>
            <w:color w:val="0000EE"/>
            <w:u w:color="0000EE"/>
            <w:lang w:val="el" w:eastAsia="el"/>
          </w:rPr>
          <w:t>dl3.etak@vo.syzefxis.gov.gr</w:t>
        </w:r>
      </w:hyperlink>
    </w:p>
    <w:p>
      <w:pPr>
        <w:pStyle w:val="PreambelText"/>
        <w:spacing w:before="240" w:after="240"/>
        <w:rPr>
          <w:lang w:val="el" w:eastAsia="el"/>
        </w:rPr>
      </w:pPr>
      <w:r>
        <w:rPr>
          <w:b/>
          <w:bCs/>
          <w:lang w:val="el" w:eastAsia="el"/>
        </w:rPr>
        <w:t xml:space="preserve">Θέμα: </w:t>
      </w:r>
      <w:r>
        <w:rPr>
          <w:lang w:val="el" w:eastAsia="el"/>
        </w:rPr>
        <w:t>Χορήγηση βεβαίωσης στοιχείων ακινήτων στους εν διαστάσει συζύγους για διατροφή, κατόπιν εισαγγελικής παραγγελίας.</w:t>
      </w:r>
    </w:p>
    <w:p>
      <w:pPr>
        <w:pStyle w:val="PreambelText"/>
        <w:spacing w:before="240" w:after="240"/>
        <w:rPr>
          <w:lang w:val="el" w:eastAsia="el"/>
        </w:rPr>
      </w:pPr>
      <w:r>
        <w:rPr>
          <w:lang w:val="el" w:eastAsia="el"/>
        </w:rPr>
        <w:t>Με αφορμή ερωτήματα που έχουν περιέλθει στην Υπηρεσία μας, αναφορικά με το θέμα, σας κοινοποιούμε την υπ’ αριθμ. 7/7-11-2012 εγκύκλιο του Εισαγγελέα του Αρείου Πάγου θέτοντας υπόψη σας τα ακόλουθα και παρακαλούμε για την ορθή και ομοιόμορφη εφαρμογή τους.</w:t>
      </w:r>
    </w:p>
    <w:p>
      <w:pPr>
        <w:pStyle w:val="PreambelText"/>
        <w:spacing w:before="240" w:after="240"/>
        <w:rPr>
          <w:lang w:val="el" w:eastAsia="el"/>
        </w:rPr>
      </w:pPr>
      <w:r>
        <w:rPr>
          <w:lang w:val="el" w:eastAsia="el"/>
        </w:rPr>
        <w:t>Με τις διατάξεις του άρθρου 23 του ν. 3427/2θΟ5 (ΦΕΚ 312A /27-12-2θΟ5), θεσπίστηκε υποχρέωση υποβολής δήλωσης στοιχείων ακινήτων, τόσο για τα φυσικά όσο και για τα νομικά πρόσωπα. Για τα έτη 2005 έως και 2θ11 οι σύζυγοι, κατά τη διάρκεια του γάμου, είχαν υποχρέωση να υποβάλλουν κοινή δήλωση στοιχείων ακινήτων.</w:t>
      </w:r>
    </w:p>
    <w:p>
      <w:pPr>
        <w:pStyle w:val="PreambelText"/>
        <w:spacing w:before="240" w:after="240"/>
        <w:rPr>
          <w:lang w:val="el" w:eastAsia="el"/>
        </w:rPr>
      </w:pPr>
      <w:r>
        <w:rPr>
          <w:lang w:val="el" w:eastAsia="el"/>
        </w:rPr>
        <w:t>Με την παρ. 7 του άρθρου 23 του ν. 3427/2θθ5, όπως προστέθηκε με την παρ. 3 του άρθρου 51 του ν. 3842/2010, ορίζεται ότι οι δηλώσεις στοιχείων ακινήτων χρησιμοποιούνται αποκλειστικά για φορολογικούς σκοπούς και δεν επιτρέπεται η χρησιμοποίησή τους για δίωξη εκείνου που υπέβαλε τη δήλωση. Οι δηλώσεις είναι απόρρητες και δεν επιτρέπεται η γνωστοποίησή τους σε οποιονδήποτε άλλον εκτός από το φορολογούμενο τον οποίο αφορούν αυτές. Κατ’ εξαίρεση, επιτρέπεται η χορήγηση στοιχείων αποκλειστικά και μόνο στα συγκεκριμένα πρόσωπα που ορίζονται στην ίδια παράγραφο, για την άσκηση συγκεκριμένων σκοπών.</w:t>
      </w:r>
    </w:p>
    <w:p>
      <w:pPr>
        <w:pStyle w:val="PreambelText"/>
        <w:spacing w:before="240" w:after="240"/>
        <w:rPr>
          <w:lang w:val="el" w:eastAsia="el"/>
        </w:rPr>
      </w:pPr>
      <w:r>
        <w:rPr>
          <w:lang w:val="el" w:eastAsia="el"/>
        </w:rPr>
        <w:t xml:space="preserve">Ειδικότερα, επιτρέπεται η χορήγηση στοιχείων στις περιπτώσεις που ορίζονται στο άρθρο 1445 του Αστικού Κώδικα. (Το άρθρο 1445 του A.K. </w:t>
      </w:r>
    </w:p>
    <w:p>
      <w:pPr>
        <w:pStyle w:val="PreambelText"/>
        <w:spacing w:before="240" w:after="240"/>
        <w:rPr>
          <w:lang w:val="el" w:eastAsia="el"/>
        </w:rPr>
      </w:pPr>
      <w:r>
        <w:rPr>
          <w:lang w:val="el" w:eastAsia="el"/>
        </w:rPr>
        <w:t>ορίζει ότι καθένας από τους πρώην συζύγους είναι υποχρεωμένος να δίνει στον άλλο ακριβείς πληροφορίες για την περιουσία του και ταεισοδήματά του, εφόσον είναι χρήσιμες για τον καθορισμό του ύψους της διατροφής). Με αίτηση ενός από τους πρώην συζύγους, που διαβιβάζεται μέσω του αρμοδίου Εισαγγελέα στη Δ.Ο.Υ., ο αρμόδιος Προϊστάμενος είναι υποχρεωμένος να δίνει κάθε χρήσιμη πληροφορία για την περιουσιακή κατάσταση του άλλου συζύγου και προπάντων για τα εισοδήματά του.</w:t>
      </w:r>
    </w:p>
    <w:p>
      <w:pPr>
        <w:pStyle w:val="PreambelText"/>
        <w:spacing w:before="240" w:after="240"/>
        <w:rPr>
          <w:lang w:val="el" w:eastAsia="el"/>
        </w:rPr>
      </w:pPr>
      <w:r>
        <w:rPr>
          <w:lang w:val="el" w:eastAsia="el"/>
        </w:rPr>
        <w:t xml:space="preserve">Με την αριθμ. 7/12/7-11-2012 εγκύκλιο του Εισαγγελέα του Αρείου Πάγου ορίζεται ρητά ότι οι Δ.Ο.Υ. υποχρεούνται να χορηγούν στοιχεία ακινήτων για τον καθορισμό διατροφής ακόμα και σε </w:t>
      </w:r>
      <w:r>
        <w:rPr>
          <w:u w:val="single"/>
          <w:lang w:val="el" w:eastAsia="el"/>
        </w:rPr>
        <w:t>εν διαστάσει συζύγους</w:t>
      </w:r>
      <w:r>
        <w:rPr>
          <w:lang w:val="el" w:eastAsia="el"/>
        </w:rPr>
        <w:t>.</w:t>
      </w:r>
    </w:p>
    <w:p>
      <w:pPr>
        <w:pStyle w:val="PreambelText"/>
        <w:spacing w:before="240" w:after="240"/>
        <w:rPr>
          <w:lang w:val="el" w:eastAsia="el"/>
        </w:rPr>
      </w:pPr>
      <w:r>
        <w:rPr>
          <w:lang w:val="el" w:eastAsia="el"/>
        </w:rPr>
        <w:t>Συνεπώς, στην περίπτωση που προσκομίζεται παραγγελία του αρμοδίου Εισαγγελέα Πρωτοδικών, στην οποία ρητά ζητείται η γνωστοποίηση των περιουσιακών στοιχείων των υπόχρεων προς διατροφή προσώπων για τον καθορισμό της διατροφής, οι Δ.Ο.Υ. υποχρεούνται να χορηγούν τα στοιχεία αυτά.</w:t>
      </w:r>
    </w:p>
    <w:p>
      <w:pPr>
        <w:pStyle w:val="PreambelText"/>
        <w:spacing w:before="240" w:after="240"/>
        <w:rPr>
          <w:lang w:val="el" w:eastAsia="el"/>
        </w:rPr>
      </w:pPr>
      <w:r>
        <w:rPr>
          <w:b/>
          <w:bCs/>
          <w:lang w:val="el" w:eastAsia="el"/>
        </w:rPr>
        <w:t xml:space="preserve">Συνημμένα: </w:t>
      </w:r>
      <w:r>
        <w:rPr>
          <w:lang w:val="el" w:eastAsia="el"/>
        </w:rPr>
        <w:t>ένα (1)</w:t>
      </w:r>
    </w:p>
    <w:p>
      <w:pPr>
        <w:pStyle w:val="enacting"/>
        <w:spacing w:before="120" w:after="0"/>
        <w:rPr>
          <w:lang w:val="el" w:eastAsia="el"/>
        </w:rPr>
      </w:pPr>
      <w:r>
        <w:rPr>
          <w:lang w:val="el" w:eastAsia="el"/>
        </w:rPr>
        <w:br/>
      </w:r>
      <w:r>
        <w:rPr>
          <w:lang w:val="el" w:eastAsia="el"/>
        </w:rPr>
        <w:t>0 Γενικός ΓραμματέαςΘεοχάρης Θεοχάρης</w:t>
      </w:r>
    </w:p>
    <w:p>
      <w:pPr>
        <w:pStyle w:val="PreambelText"/>
        <w:spacing w:before="240" w:after="240"/>
        <w:rPr>
          <w:lang w:val="el" w:eastAsia="el"/>
        </w:rPr>
      </w:pPr>
      <w:r>
        <w:rPr>
          <w:b/>
          <w:bCs/>
          <w:u w:val="single"/>
          <w:lang w:val="el" w:eastAsia="el"/>
        </w:rPr>
        <w:t>ΠΙΝΑΚΑΣ ΑΠΟΔΕΚΤΩΝ</w:t>
      </w:r>
    </w:p>
    <w:p>
      <w:pPr>
        <w:pStyle w:val="PreambelText"/>
        <w:spacing w:before="240" w:after="240"/>
        <w:rPr>
          <w:lang w:val="el" w:eastAsia="el"/>
        </w:rPr>
      </w:pPr>
      <w:r>
        <w:rPr>
          <w:b/>
          <w:bCs/>
          <w:lang w:val="el" w:eastAsia="el"/>
        </w:rPr>
        <w:t xml:space="preserve">Ι. </w:t>
      </w:r>
      <w:r>
        <w:rPr>
          <w:b/>
          <w:bCs/>
          <w:u w:val="single"/>
          <w:lang w:val="el" w:eastAsia="el"/>
        </w:rPr>
        <w:t>ΑΠΟΔΕΚΤΕΣ ΓΙΑ ΕΝΕΡΓΕΙΑ:</w:t>
      </w:r>
    </w:p>
    <w:p>
      <w:pPr>
        <w:pStyle w:val="PreambelText"/>
        <w:spacing w:before="240" w:after="240"/>
        <w:rPr>
          <w:lang w:val="el" w:eastAsia="el"/>
        </w:rPr>
      </w:pPr>
      <w:r>
        <w:rPr>
          <w:lang w:val="el" w:eastAsia="el"/>
        </w:rPr>
        <w:t xml:space="preserve">Όλες οι Δημόσιες Οικονομικές Υπηρεσίες (Εξαιρετικά Επείγον - Αποστολή και μέσω ηλεκτρονικού ταχυδρομείου και 3 αντίτυπα </w:t>
      </w:r>
      <w:r>
        <w:rPr>
          <w:b/>
          <w:bCs/>
          <w:lang w:val="el" w:eastAsia="el"/>
        </w:rPr>
        <w:t>στα τμήματα φορολογίας εισοδήματος)</w:t>
      </w:r>
    </w:p>
    <w:p>
      <w:pPr>
        <w:pStyle w:val="PreambelText"/>
        <w:spacing w:before="240" w:after="240"/>
        <w:rPr>
          <w:lang w:val="el" w:eastAsia="el"/>
        </w:rPr>
      </w:pPr>
      <w:r>
        <w:rPr>
          <w:b/>
          <w:bCs/>
          <w:lang w:val="el" w:eastAsia="el"/>
        </w:rPr>
        <w:t xml:space="preserve">||. </w:t>
      </w:r>
      <w:r>
        <w:rPr>
          <w:b/>
          <w:bCs/>
          <w:u w:val="single"/>
          <w:lang w:val="el" w:eastAsia="el"/>
        </w:rPr>
        <w:t>ΑΠΟΔΕΚΤΕΣ ΓΙΑ ΚΟΙΝΟΠΟΙΗΣΗ:</w:t>
      </w:r>
    </w:p>
    <w:p>
      <w:pPr>
        <w:pStyle w:val="PreambelText"/>
        <w:spacing w:before="240" w:after="240"/>
        <w:rPr>
          <w:lang w:val="el" w:eastAsia="el"/>
        </w:rPr>
      </w:pPr>
      <w:r>
        <w:rPr>
          <w:lang w:val="el" w:eastAsia="el"/>
        </w:rPr>
        <w:t>1. Αποδέκτες Πίνακα Α' (περιπτώσεις 3, 4)</w:t>
      </w:r>
    </w:p>
    <w:p>
      <w:pPr>
        <w:pStyle w:val="PreambelText"/>
        <w:spacing w:before="240" w:after="240"/>
        <w:rPr>
          <w:lang w:val="el" w:eastAsia="el"/>
        </w:rPr>
      </w:pPr>
      <w:r>
        <w:rPr>
          <w:lang w:val="el" w:eastAsia="el"/>
        </w:rPr>
        <w:t>2. Αποδέκτες Πίνακα Β' (περιπτώσεις 3 και 5)</w:t>
      </w:r>
    </w:p>
    <w:p>
      <w:pPr>
        <w:pStyle w:val="PreambelText"/>
        <w:spacing w:before="240" w:after="240"/>
        <w:rPr>
          <w:lang w:val="el" w:eastAsia="el"/>
        </w:rPr>
      </w:pPr>
      <w:r>
        <w:rPr>
          <w:lang w:val="el" w:eastAsia="el"/>
        </w:rPr>
        <w:t>3. Αποδέκτες Πίνακα ΣΤ' (περιπτώσεις 1,2 και 3)</w:t>
      </w:r>
    </w:p>
    <w:p>
      <w:pPr>
        <w:pStyle w:val="PreambelText"/>
        <w:spacing w:before="240" w:after="240"/>
        <w:rPr>
          <w:lang w:val="el" w:eastAsia="el"/>
        </w:rPr>
      </w:pPr>
      <w:r>
        <w:rPr>
          <w:lang w:val="el" w:eastAsia="el"/>
        </w:rPr>
        <w:t>4. Αποδέκτες Πίνακα Ζ' (περιπτώσεις 1, 2 και 9)</w:t>
      </w:r>
    </w:p>
    <w:p>
      <w:pPr>
        <w:pStyle w:val="PreambelText"/>
        <w:spacing w:before="240" w:after="240"/>
        <w:rPr>
          <w:lang w:val="el" w:eastAsia="el"/>
        </w:rPr>
      </w:pPr>
      <w:r>
        <w:rPr>
          <w:lang w:val="el" w:eastAsia="el"/>
        </w:rPr>
        <w:t>5. Αποδέκτες Πίνακα Θ' (περιπτώσεις 3,12,16 και 17)</w:t>
      </w:r>
    </w:p>
    <w:p>
      <w:pPr>
        <w:pStyle w:val="PreambelText"/>
        <w:spacing w:before="240" w:after="240"/>
        <w:rPr>
          <w:lang w:val="el" w:eastAsia="el"/>
        </w:rPr>
      </w:pPr>
      <w:r>
        <w:rPr>
          <w:lang w:val="el" w:eastAsia="el"/>
        </w:rPr>
        <w:t>6. Αποδέκτες Πίνακα Ι'</w:t>
      </w:r>
    </w:p>
    <w:p>
      <w:pPr>
        <w:pStyle w:val="PreambelText"/>
        <w:spacing w:before="240" w:after="240"/>
        <w:rPr>
          <w:lang w:val="el" w:eastAsia="el"/>
        </w:rPr>
      </w:pPr>
      <w:r>
        <w:rPr>
          <w:b/>
          <w:bCs/>
          <w:lang w:val="el" w:eastAsia="el"/>
        </w:rPr>
        <w:t xml:space="preserve">ΙΙΙ. </w:t>
      </w:r>
      <w:r>
        <w:rPr>
          <w:b/>
          <w:bCs/>
          <w:u w:val="single"/>
          <w:lang w:val="el" w:eastAsia="el"/>
        </w:rPr>
        <w:t>ΕΣΩΤΕΡΙΚΗ ΔΙΑΝΟΜΗ:</w:t>
      </w:r>
    </w:p>
    <w:p>
      <w:pPr>
        <w:pStyle w:val="PreambelText"/>
        <w:spacing w:before="240" w:after="240"/>
        <w:rPr>
          <w:lang w:val="el" w:eastAsia="el"/>
        </w:rPr>
      </w:pPr>
      <w:r>
        <w:rPr>
          <w:lang w:val="el" w:eastAsia="el"/>
        </w:rPr>
        <w:t>I. Γραφείο Υπουργού</w:t>
      </w:r>
    </w:p>
    <w:p>
      <w:pPr>
        <w:pStyle w:val="PreambelText"/>
        <w:spacing w:before="240" w:after="240"/>
        <w:rPr>
          <w:lang w:val="el" w:eastAsia="el"/>
        </w:rPr>
      </w:pPr>
      <w:r>
        <w:rPr>
          <w:lang w:val="el" w:eastAsia="el"/>
        </w:rPr>
        <w:t>2. Γραφείο Υφυπουργού</w:t>
      </w:r>
    </w:p>
    <w:p>
      <w:pPr>
        <w:pStyle w:val="PreambelText"/>
        <w:spacing w:before="240" w:after="240"/>
        <w:rPr>
          <w:lang w:val="el" w:eastAsia="el"/>
        </w:rPr>
      </w:pPr>
      <w:r>
        <w:rPr>
          <w:lang w:val="el" w:eastAsia="el"/>
        </w:rPr>
        <w:t>3. Γραφείο Γενικού Γραμματέα Δημοσίων Εσόδων</w:t>
      </w:r>
    </w:p>
    <w:p>
      <w:pPr>
        <w:pStyle w:val="PreambelText"/>
        <w:spacing w:before="240" w:after="240"/>
        <w:rPr>
          <w:lang w:val="el" w:eastAsia="el"/>
        </w:rPr>
      </w:pPr>
      <w:r>
        <w:rPr>
          <w:lang w:val="el" w:eastAsia="el"/>
        </w:rPr>
        <w:t>4. Γραφείο Γενικού Γραμματέα Πληροφορικών Συστημάτων</w:t>
      </w:r>
    </w:p>
    <w:p>
      <w:pPr>
        <w:pStyle w:val="PreambelText"/>
        <w:spacing w:before="240" w:after="240"/>
        <w:rPr>
          <w:lang w:val="el" w:eastAsia="el"/>
        </w:rPr>
      </w:pPr>
      <w:r>
        <w:rPr>
          <w:lang w:val="el" w:eastAsia="el"/>
        </w:rPr>
        <w:t>5. Γραφείο Αναπληρωτή Γενικού Διευθυντή Φορολογίας</w:t>
      </w:r>
    </w:p>
    <w:p>
      <w:pPr>
        <w:pStyle w:val="PreambelText"/>
        <w:spacing w:before="240" w:after="240"/>
        <w:rPr>
          <w:lang w:val="el" w:eastAsia="el"/>
        </w:rPr>
      </w:pPr>
      <w:r>
        <w:rPr>
          <w:lang w:val="el" w:eastAsia="el"/>
        </w:rPr>
        <w:t>6. Γραφείου Γενικού Διευθυντή ΚΕ.Π.ΥΌ.</w:t>
      </w:r>
    </w:p>
    <w:p>
      <w:pPr>
        <w:pStyle w:val="PreambelText"/>
        <w:spacing w:before="240" w:after="240"/>
        <w:rPr>
          <w:lang w:val="el" w:eastAsia="el"/>
        </w:rPr>
      </w:pPr>
      <w:r>
        <w:rPr>
          <w:lang w:val="el" w:eastAsia="el"/>
        </w:rPr>
        <w:t>7. Γραφεία κ. κ. Γενικών Διευθυντών</w:t>
      </w:r>
    </w:p>
    <w:p>
      <w:pPr>
        <w:pStyle w:val="PreambelText"/>
        <w:spacing w:before="240" w:after="240"/>
        <w:rPr>
          <w:lang w:val="el" w:eastAsia="el"/>
        </w:rPr>
      </w:pPr>
      <w:r>
        <w:rPr>
          <w:lang w:val="el" w:eastAsia="el"/>
        </w:rPr>
        <w:t>8. Γραφείο Πληροφόρησης Πολιτών</w:t>
      </w:r>
    </w:p>
    <w:p>
      <w:pPr>
        <w:pStyle w:val="PreambelText"/>
        <w:spacing w:before="240" w:after="240"/>
        <w:rPr>
          <w:lang w:val="el" w:eastAsia="el"/>
        </w:rPr>
      </w:pPr>
      <w:r>
        <w:rPr>
          <w:lang w:val="el" w:eastAsia="el"/>
        </w:rPr>
        <w:t>9. Δ/νση Φορολογίας Κεφαλαίου - Τμήματα Α', Β' (από 10 αντίτυπα), Φ.Μ.Α.Π. (20 αντίτυπα)</w:t>
      </w:r>
    </w:p>
    <w:p>
      <w:pPr>
        <w:pStyle w:val="PreambelText"/>
        <w:spacing w:before="240" w:after="240"/>
        <w:rPr>
          <w:lang w:val="el" w:eastAsia="el"/>
        </w:rPr>
      </w:pPr>
      <w:r>
        <w:rPr>
          <w:lang w:val="el" w:eastAsia="el"/>
        </w:rPr>
        <w:t>ΕΛΛΗΝΙΚΗ ΔΗΜΟΚΡΑΤΙΑ</w:t>
      </w:r>
    </w:p>
    <w:p>
      <w:pPr>
        <w:pStyle w:val="enacting"/>
        <w:spacing w:before="120" w:after="0"/>
        <w:rPr>
          <w:lang w:val="el" w:eastAsia="el"/>
        </w:rPr>
      </w:pPr>
      <w:r>
        <w:rPr>
          <w:b/>
          <w:bCs/>
          <w:lang w:val="el" w:eastAsia="el"/>
        </w:rPr>
        <w:t>Ο ΕΙΣΑΓΓΈΛΕΥΕ:</w:t>
      </w:r>
      <w:r>
        <w:rPr>
          <w:lang w:val="el" w:eastAsia="el"/>
        </w:rPr>
        <w:br/>
      </w:r>
      <w:r>
        <w:rPr>
          <w:b/>
          <w:bCs/>
          <w:lang w:val="el" w:eastAsia="el"/>
        </w:rPr>
        <w:t>ΤΟΥ ΑΡΕΙΟΥ ΠΑΓΟΥ</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ΔΙΟΙΚΗΤΙΚΟ</w:t>
      </w:r>
    </w:p>
    <w:p>
      <w:pPr>
        <w:spacing w:before="240" w:after="240"/>
        <w:rPr>
          <w:lang w:val="el" w:eastAsia="el"/>
        </w:rPr>
      </w:pPr>
      <w:r>
        <w:rPr>
          <w:lang w:val="el" w:eastAsia="el"/>
        </w:rPr>
        <w:t>ΤΗΛ. 2106411526</w:t>
      </w:r>
    </w:p>
    <w:p>
      <w:pPr>
        <w:spacing w:before="240" w:after="240"/>
        <w:rPr>
          <w:lang w:val="el" w:eastAsia="el"/>
        </w:rPr>
      </w:pPr>
      <w:r>
        <w:rPr>
          <w:lang w:val="el" w:eastAsia="el"/>
        </w:rPr>
        <w:t>ΦΑΞ 2106411523</w:t>
      </w:r>
    </w:p>
    <w:p>
      <w:pPr>
        <w:spacing w:before="240" w:after="240"/>
        <w:rPr>
          <w:lang w:val="el" w:eastAsia="el"/>
        </w:rPr>
      </w:pPr>
      <w:r>
        <w:rPr>
          <w:lang w:val="el" w:eastAsia="el"/>
        </w:rPr>
        <w:t>Αθήνα 7 Νοεμβρίου 2012.</w:t>
      </w:r>
    </w:p>
    <w:p>
      <w:pPr>
        <w:spacing w:before="240" w:after="240"/>
        <w:rPr>
          <w:lang w:val="el" w:eastAsia="el"/>
        </w:rPr>
      </w:pPr>
      <w:r>
        <w:rPr>
          <w:lang w:val="el" w:eastAsia="el"/>
        </w:rPr>
        <w:t>Αριθ. Πρωτ. : 4449</w:t>
      </w:r>
    </w:p>
    <w:p>
      <w:pPr>
        <w:spacing w:before="240" w:after="240"/>
        <w:rPr>
          <w:lang w:val="el" w:eastAsia="el"/>
        </w:rPr>
      </w:pPr>
      <w:r>
        <w:rPr>
          <w:b/>
          <w:bCs/>
          <w:lang w:val="el" w:eastAsia="el"/>
        </w:rPr>
        <w:t>Αριθμ. Εγκυκλίου : 7/12</w:t>
      </w:r>
    </w:p>
    <w:p>
      <w:pPr>
        <w:spacing w:before="240" w:after="240"/>
        <w:rPr>
          <w:lang w:val="el" w:eastAsia="el"/>
        </w:rPr>
      </w:pPr>
      <w:r>
        <w:rPr>
          <w:b/>
          <w:bCs/>
          <w:lang w:val="el" w:eastAsia="el"/>
        </w:rPr>
        <w:t>Προς :τους κ.κ. Εισαγγελείς Εφετών του Χώραςκαι δι' αυτώντους κ.κ. Εισαγγελείς Πρωτοδικών της περιφέρειάς τους.</w:t>
      </w:r>
    </w:p>
    <w:p>
      <w:pPr>
        <w:spacing w:before="240" w:after="240"/>
        <w:rPr>
          <w:lang w:val="el" w:eastAsia="el"/>
        </w:rPr>
      </w:pPr>
      <w:r>
        <w:rPr>
          <w:lang w:val="el" w:eastAsia="el"/>
        </w:rPr>
        <w:t>Κατά τη διάταξη του άρθρου 25 § 4 εδ.β' Ν.1756/1988 «Περί Κώδικα Οργανισμού δικαστηρίων και κατάστασης των δικαστικών λειτουργών» ο εισαγγελέας πρωτοδικών δικαιούται να παραγγέλλει στις υπηρεσίες του δημοσίου, των νομικών προσώπων δημοσίου δικαίου, των οργανισμών κοινής ωφέλειας και όλων γενικά των επιχειρήσεων του δημόσιου τομέα, να παραδώσουν έγγραφα ή να χορηγήσουν αντίγραφα τους, όταν το ζητήσουν νομικά ή φυσικά πρόσωπα που έχουν δικαίωμα ή έννομο συμφέρον, εκτός αν πρόκειται για έγγραφα από αυτά που αναφέρονται στο άρθρο 261 του Κ.Π,Δ.</w:t>
      </w:r>
    </w:p>
    <w:p>
      <w:pPr>
        <w:spacing w:before="240" w:after="240"/>
        <w:rPr>
          <w:lang w:val="el" w:eastAsia="el"/>
        </w:rPr>
      </w:pPr>
      <w:r>
        <w:rPr>
          <w:lang w:val="el" w:eastAsia="el"/>
        </w:rPr>
        <w:t>Περαιτέρω κατά τη διάταξη του άρθρου 1445 A.K., ο καθένας από τους πρώην Συζύγους είναι υποχρεωμένος να δίνει στον άλλο ακριβείς πληροφορίες για την περιουσία του και τα εισοδήματά του, εφόσον είναι χρήσιμες για τον καθορισμό του!ύψους της διατροφής. Με αίτηση ενός από τάμς πρώην συζύγους, που διαβιβάζεται μέσω του αρμόδιου εισαγγελέα, ο εργοδότης, η αρμόδια υπηρεσία και ο αρμόδιος οικονομικός έφορος είναι υποχρεωμένοι να δίνουν κάθε χρήσιμη πληροφορία για την περιουσιακή κατάσταση του άλλου συζύγου και προπάντων για τα εισοδήματά του.</w:t>
      </w:r>
    </w:p>
    <w:p>
      <w:pPr>
        <w:spacing w:before="240" w:after="240"/>
        <w:rPr>
          <w:lang w:val="el" w:eastAsia="el"/>
        </w:rPr>
      </w:pPr>
      <w:r>
        <w:rPr>
          <w:lang w:val="el" w:eastAsia="el"/>
        </w:rPr>
        <w:t>Τέλος κατά το άρθρο 51 § 7° Ν.3842/2010 κατ’ εξαίρεση επιτρέπεται η χορήγηση στοιχείων ακινήτων των φορολογουμένων και στις περιπτώσεις που ορίζονται από το άρθρο 1445 A.K.</w:t>
      </w:r>
    </w:p>
    <w:p>
      <w:pPr>
        <w:spacing w:before="240" w:after="240"/>
        <w:rPr>
          <w:lang w:val="el" w:eastAsia="el"/>
        </w:rPr>
      </w:pPr>
      <w:r>
        <w:rPr>
          <w:lang w:val="el" w:eastAsia="el"/>
        </w:rPr>
        <w:t>Αττό τις διατάξεις αυτές συνάγεται ότι η γνωστοποίηση από τις ΔΌ.Υ. των σχετικών με την περιουσιακή κατάσταση των υποχρεών προς διατροφή προσώπων πληροφοριών, προκειμένου να καθορισθεί το ύψος της, κατόπιν παραγγελίας του αρμοδίου εισαγγελέα Πρωτοδικών, είναι υποχρεωτική και σε περίπτωση άρνησης οι αρμόδιοι υπάλληλοι υπέχουν ποινική ευθύνη (παράβαση του άρθρ. 169 Π.Κ. κόι υπό προϋποθέσεις του άρθρου 259 Π.Κ.).</w:t>
      </w:r>
    </w:p>
    <w:p>
      <w:pPr>
        <w:spacing w:before="240" w:after="240"/>
        <w:rPr>
          <w:lang w:val="el" w:eastAsia="el"/>
        </w:rPr>
      </w:pPr>
      <w:r>
        <w:rPr>
          <w:lang w:val="el" w:eastAsia="el"/>
        </w:rPr>
        <w:t>Παρατηρείται, όμως το φαινόμενο οι αρμόδιες Δ,Ο.Υ. να γνωστοποιούν μόνο τα εισοδήματα των υποχρέων διατροφής προσώπων και όχι τα λοιπά περιουσιακά τους στοιχεία (όπως ακίνητα κλπ.) με αποτέλεσμα να μην αποτυπώνεται η πραγματική οικονομική κατάσταση των υποχρέων προς διατροφή προσώπων και εν τέλει ο ορθός καθορισμός του ύψους της, ή και να αρνούνται ρητά υποστηρίζοντας ότι η γνωστοποίηση των εν λόγω στοιχείων επιτρέπεται μόνο όταν η αιτούμενη διατροφή αφορά τον έναν από τους πρώην συζύγους και όχι άλλα πρόσωπα .</w:t>
      </w:r>
    </w:p>
    <w:p>
      <w:pPr>
        <w:spacing w:before="240" w:after="240"/>
        <w:rPr>
          <w:lang w:val="el" w:eastAsia="el"/>
        </w:rPr>
      </w:pPr>
      <w:r>
        <w:rPr>
          <w:lang w:val="el" w:eastAsia="el"/>
        </w:rPr>
        <w:t>Η θέση αυτή όμως δεν στηρίζεται σε διάταξη νόμου, αλλά είναι αυθαίρετη, δεδομένου ότι για την ταυτότητα του νομικού λόγου οι πιο πάνω διατάξεις έχουν εφαρμογή σε κάθε περίπτωση που ζητείται διατροφή καθ’ όσον διαφορετικά δεν θα ήταν δυνατόν από τα δικαστήρια να καθορίσουν το ύψος της.</w:t>
      </w:r>
    </w:p>
    <w:p>
      <w:pPr>
        <w:spacing w:before="240" w:after="240"/>
        <w:rPr>
          <w:lang w:val="el" w:eastAsia="el"/>
        </w:rPr>
      </w:pPr>
      <w:r>
        <w:rPr>
          <w:lang w:val="el" w:eastAsia="el"/>
        </w:rPr>
        <w:t>Κατόπιν τούτου παρακαλούμε όπως συστήσετε στους εισαγγελείς Πρωτοδικών της περιφέρειας σάς να μνημονεύουν στις παραγγελίες που απευθύνουν προς τις αρμόδιες Δ.Ο.Υ. για τη γνωστοποίηση των περιουσιακών στοιχείων των υποχρεών προς διατροφή προσώπων και τις προμνησθείσες διατάξεις, ώστε το φαινόμενο αυτό να εξαλειφθεί.</w:t>
      </w:r>
    </w:p>
    <w:p>
      <w:pPr>
        <w:spacing w:before="240" w:after="240"/>
        <w:rPr>
          <w:lang w:val="el" w:eastAsia="el"/>
        </w:rPr>
      </w:pPr>
      <w:r>
        <w:rPr>
          <w:lang w:val="el" w:eastAsia="el"/>
        </w:rPr>
        <w:t>Κοινοποίηση : α) Υπουργείο Δικαιοσύνης Διαφάνειας και Ανθρώπινων Δικαιωμάτων - Τμήμα Διεθνούς Δικαστικής Συνεργασίας σε αστικές υποθέσεις.</w:t>
      </w:r>
    </w:p>
    <w:p>
      <w:pPr>
        <w:spacing w:before="240" w:after="240"/>
        <w:rPr>
          <w:lang w:val="el" w:eastAsia="el"/>
        </w:rPr>
      </w:pPr>
      <w:r>
        <w:rPr>
          <w:lang w:val="el" w:eastAsia="el"/>
        </w:rPr>
        <w:t>/[ Ϊ) Υπουργείο Οικονομικών - Διεύθυνση Γενικής Γραμματείας Φορολογικών και Τελωνειακών θεμάτων - Γενική Διεύθυνση Διοικητικής Υποστήριξης - Διεύθυνση Διοικητικόύ.</w:t>
      </w:r>
    </w:p>
    <w:p>
      <w:pPr>
        <w:spacing w:before="240" w:after="240"/>
        <w:rPr>
          <w:lang w:val="el" w:eastAsia="el"/>
        </w:rPr>
      </w:pPr>
      <w:r>
        <w:rPr>
          <w:b/>
          <w:bCs/>
          <w:lang w:val="el" w:eastAsia="el"/>
        </w:rPr>
        <w:t>B.K.</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l3.etak@vo.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