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17Απριλίου 2013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1075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«Παροχή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&amp; Ειδικά Καθεστώτα»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Κώδικας: 106 72 ΑΘΗΝΑ Πληροφορίες : Φ. Αθανασάκη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0"/>
        <w:gridCol w:w="443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Τηλέφωνο Fax 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210- 3645832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210- 3645413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hyperlink r:id="rId4" w:history="1">
              <w:r>
                <w:rPr>
                  <w:rStyle w:val="Hyperlink"/>
                  <w:b/>
                  <w:bCs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dfpa.b1@1992.syzefxis.gov.gr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διατάξεων υποπαραγράφου Ε.4. παραγράφου Ε του άρθρου πρώτου του νόμου 4093/12.11.2012 (ΦΕΚ Α 222) σχετικά με τον κατ’ αποκοπή συντελεστή επιστροφής στους αγρότες του ειδικού καθεστώτος ΦΠΑ.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νόμο 4093/12.11.2012 (ΦΕΚ Α 222) και την υποπαράγραφο Ε4 της παραγράφου Ε του άρθρου πρώτου αυτού τροποποιήθηκαν οι διατάξεις του Κώδικα ΦΠΑ και ειδικότερα αντικαταστάθηκαν τα δύο πρώτα εδάφια της παραγράφου 2 του άρθρου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η επιστροφή του φόρου που δικαιούνται οι αγρότες του ειδικού καθεστώτος, σύμφωνα με τις διατάξεις της παραγράφου 1 του άρθρου 41, προκύπτει πλέον με την εφαρμογή κατ’ αποκοπή συντελεστή </w:t>
      </w:r>
      <w:r>
        <w:rPr>
          <w:b/>
          <w:bCs/>
          <w:lang w:val="el" w:eastAsia="el"/>
        </w:rPr>
        <w:t xml:space="preserve">6%, </w:t>
      </w:r>
      <w:r>
        <w:rPr>
          <w:lang w:val="el" w:eastAsia="el"/>
        </w:rPr>
        <w:t>αντί για 11% που ίσχυε, στην αξία των παραδιδόμενων αγροτικών προϊόντων και των παρεχόμενων αγροτικών υπηρεσιών του Παραρτήματος IV του Κώδικα ΦΠΑ προς άλλους υποκείμενους στο φόρο, εκτός των αγροτών του καθεστώτος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νέος κατ’ αποκοπή συντελεστής επιστροφής φόρου εφαρμόζεται για αιτήσεις επιστροφής που υποβάλλονται από 1.1.2013 και μεταγενέστερα.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Δεδομένης της ανωτέρω μείωσης μειώνεται και ο συντελεστής επιστροφής που προβλέπεται για τις πωλήσεις αγροτικών προϊόντων που πραγματοποιούνται από τους ίδιους τους αγρότες και οι οποίες υπάγονται στο κανονικό καθεστώς ΦΠΑ, από 5% στο 3%, (πωλήσεις από δικό τους κατάστημα, στις λαϊκές αγορές, εξαγωγές).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υποβολή των αιτήσεων επιστροφής των αγροτών ειδικού καθεστώτος για το έτος 2013 θα χρησιμοποιηθεί το έντυπο Φ6 TAXIS «Αίτηση και Αναλυτική Κατάσταση Δικαιολογητικών» (010Α-ΦΠΑ, έκδοση 2007), έκδοσης 2007.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Όσον αφορά τη συμπλήρωση του εν λόγω εντύπου, ισχύουν αναλογικά οι διευκρινίσεις που παρασχέθηκαν με την εγκύκλιο ΠΟΛ 1045/22.4.2010 με κατάλληλη τροποποίηση του ισχύοντος συντελεστή επιστροφής (6%).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Γεν. Διευθυντής ΦορολογίαςΓ. Κριτσέλης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εκτός του αριθ. 2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ΙΕ΄ (για ενημέρωση των μελών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Υπουργός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Αναπληρωτής Υπουργός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Γενικός Γραμματέας Υπουργείου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.Αποδέκτες Πίνακα Α΄ εκτός του αριθ. 4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.Αποδέκτες Πίνακα ΣΤ΄, μόνο οι αριθ. 1 και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.Αποδέκτες Πίνακα Η΄ εκτός των αριθ. 8,9, 10 και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Αν. Γεν. Διευθυντή Φορολογίας 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κ. 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Όλες τις Φορολογικές Διευθύνσεις – Τμήματα και Ανεξάρτητα Γραφεία ιδίου Υπουργείου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Τράπεζα Δημοσιονομικών Δεδομένων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Γεν. Δ/νση Οικονομικής Επιθεώρησης – Θεμιστοκλέους 5 – 10184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Εφαρμογών Η/Υ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– Γραφείο Προϊσταμένου Δ/νσης - Τμήματα Α΄,Β΄(20)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