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ΕΛΛΗΝΙΚΗ ΔΗΜΟΚΡΑΤΙΑ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ΥΠΟΥΡΓΕΙΟ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ΓΕΝΙΚΗ ΓΡΑΜΜΑΤΕΙΑ ΔΗΜΟΣΙΩΝ ΕΣΟΔΩΝ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ΓΕΝΙΚΗ Δ/ΝΣΗ ΦΟΡΟΛΟΓΙΚΩΝ ΕΛΕΓΧΩΝ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&amp; ΕΙΣΠΡΑΞΗΣ ΔΗΜΟΣΙΩΝ ΕΣΟΔΩΝ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ΠΟΛΙΤΙΚΗΣ ΕΙΣΠΡΑΞΕΩΝ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ΤΜΗΜΑΤΑ Α’ &amp; Δ’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ΦΕΚ 1535 Β'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10 Ιουνίου 2013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Αρ. Πρωτ.: Δ ΠΕΙΣ Α 1096276 ΕΞ2013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ΠΡΟΣ: Όπως πίνακας Διανομής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Καρ. Σερβίας 10,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10184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Κ. Κούστα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210 3635480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210 3635077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«Διαγραφή Ληξιπρόθεσμων Οφειλών Βεβαιωμένων στις Δημόσιες Οικονομικές Υπηρεσίες (Δ.Ο.Υ.) προ του 1993 και μικρότερων των 200 ευρώ ανά φορολογούμενο».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ΓΕΝΙΚΟΣ ΓΡΑΜΜΑΤΕΑΣ ΔΗΜΟΣΙΩΝ ΕΣΟΔΩΝ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του άρθρου 82</w:t>
      </w:r>
      <w:r>
        <w:rPr>
          <w:sz w:val="30"/>
          <w:szCs w:val="30"/>
          <w:vertAlign w:val="superscript"/>
          <w:lang w:val="el" w:eastAsia="el"/>
        </w:rPr>
        <w:t>Α</w:t>
      </w:r>
      <w:r>
        <w:rPr>
          <w:lang w:val="el" w:eastAsia="el"/>
        </w:rPr>
        <w:t>, παρ. 4, του ν.δ. 356/74 (Α’ 90) περί Κώδικα Είσπραξης Δημοσίων Εσόδων (Κ.Ε.Δ.Ε.), όπως ισχύουν μετά την αντικατάστασή τους από τις διατάξεις της υποπαραγράφου Α4 «Διαγραφή των οφειλών προς το Δημόσιο» της παραγράφου Α του άρθρου πρώτου του ν.4152/2013 (Α’ 107).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της υποπαραγράφου Ε.2. του άρθρου πρώτου του ν. 4093/2012 (Α΄122) «Έγκριση Μεσοπρόθεσμου Πλαισίου Δημοσιονομικής Στρατηγικής 2013-2016-Επείγοντα Μέτρα Εφαρμογής του ν.4046/2012 και Μεσοπρόθεσμου Πλαισίου Δημοσιονομικής Στρατηγικής 2013-2016» και ειδικότερα της περίπτωσης 2 και της υποπερίπτωσης β΄ της περίπτωσης 3 αυτής, όπως συμπληρώθηκε με τις διατάξεις των παρ. 3 έως 6 του άρθρου 35 του ν.4141/2013 (Α΄81) «Επενδυτικά εργαλεία ανάπτυξης, παροχή πιστώσεων και άλλες διατάξεις»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Τη με αριθμ. Δ6Α 1015213 ΕΞ 2013 (Β’ 130) Απόφαση του Υπουργού Οικονομικών και του Υφυπουργού Οικονομικών, «Μεταβίβαση αρμοδιοτήτων στον Γενικό Γραμματέα της Γενικής Γραμματείας Δημοσίων Εσόδων του Υπουργείου Οικονομικών».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Την ανάγκη εκκαθάρισης του χαρτοφυλακίου ληξιπροθέσμων οφειλών από ανείσπρακτες οφειλές πέραν της εικοσαετίας, οι οποίες προκαλούν διαχειριστικό και λειτουργικό κόστος.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Το γεγονός ότι από τις διατάξεις της απόφασης αυτής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Π Ο Φ Α Σ Ι Ζ Ο Υ Μ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 βεβαιωμένες μέχρι και 31.12.1992 στις Δημόσιες Οικονομικές Υπηρεσίες (Δ.Ο.Υ.) υπέρ του Δημοσίου ή Τρίτων ανείσπρακτες βασικές οφειλές, οι οποίες είναι μικρότερες των διακοσίων (200) ευρώ συνολικά ανά οφειλέτη, διαγράφονται, εφόσον δεν υφίστανται άλλες βασικές οφειλές του ίδιου προσώπου μετά την ανωτέρω ημερομηνία. Η διαγραφή διενεργείται από τη Γενική Γραμματεία Πληροφοριακών Συστημάτων με συγκεντρωτικά ανά Δ.Ο.Υ. φύλλα έκπτωσης ή κατ’ εξαίρεση από τις Δ.Ο.Υ. με ατομικά φύλλα έκπτωσης.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Η παρούσα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Ακριβές Αντίγραφο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Προϊσταμένη της Γραμματείας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Α. </w:t>
      </w:r>
      <w:r>
        <w:rPr>
          <w:b/>
          <w:bCs/>
          <w:u w:val="single"/>
          <w:lang w:val="el" w:eastAsia="el"/>
        </w:rPr>
        <w:t>ΠΡΟΣ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Εθνικό Τυπογραφείο για Δημοσίευση στο τεύχος Β'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Δ.Ο.Υ.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Γ.Γ.Π.Σ./Δ30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Β. </w:t>
      </w:r>
      <w:r>
        <w:rPr>
          <w:b/>
          <w:bCs/>
          <w:u w:val="single"/>
          <w:lang w:val="el" w:eastAsia="el"/>
        </w:rPr>
        <w:t>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Αποδέκτες πίνακα Α΄,Γ΄,Δ', ΣΤ', Ζ', Η', Θ', Ι', ΙΑ', ΙΒ', ΙΓ', ΙΔ', ΙΕ',ΙΣΤ', ΙΖ', ΙΗ', ΙΘ', Κ', ΚΑ', ΚΒ',ΚΓ'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Γ. </w:t>
      </w:r>
      <w:r>
        <w:rPr>
          <w:b/>
          <w:bCs/>
          <w:u w:val="single"/>
          <w:lang w:val="el" w:eastAsia="el"/>
        </w:rPr>
        <w:t>ΕΣΩΤΕΡΙΚΗ ΔΙΑΝΟΜΗ: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1) Γραφείο κ.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2) Γραφείο κ. Αναπληρωτή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3) Γραφείο κ. Υφυπουργού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4) Γραφεία κ.κ. Γενικών Γραμματέων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5) Γραφεία κ.κ. Γεν. Διευθυντών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6) Όλες τις Διευθύνσεις, Τμήματα και Ανεξάρτητα Γραφεία του Υπουργείου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7) Δ/νση Πολιτικής Εισπράξεων- Τμήματα Α, Β, Γ, Δ, Ε, Γραμματεία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8) Γραφείο Τύπου και Δημοσίων Σχέσεων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9) Γραφείο Επικοινωνίας και Πληροφόρησης Πολιτών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10) Περιοδικό Φορολογική Επιθεώρηση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