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w:t>
      </w:r>
    </w:p>
    <w:p>
      <w:pPr>
        <w:pStyle w:val="Title"/>
        <w:spacing w:before="120" w:after="360"/>
        <w:rPr>
          <w:lang w:val="el" w:eastAsia="el"/>
        </w:rPr>
      </w:pPr>
      <w:r>
        <w:rPr>
          <w:b/>
          <w:bCs/>
          <w:lang w:val="el" w:eastAsia="el"/>
        </w:rPr>
        <w:t>ΓΕΝΙΚΟΥ ΧΗΜΕΙΟΥ ΤΟΥ ΚΡΑΤΟΥΣ ΔΙΕΥΘΥΝΣΗ ΑΛΚΟΟΛΗΣ,</w:t>
      </w:r>
    </w:p>
    <w:p>
      <w:pPr>
        <w:pStyle w:val="Title"/>
        <w:spacing w:before="120" w:after="360"/>
        <w:rPr>
          <w:lang w:val="el" w:eastAsia="el"/>
        </w:rPr>
      </w:pPr>
      <w:r>
        <w:rPr>
          <w:b/>
          <w:bCs/>
          <w:lang w:val="el" w:eastAsia="el"/>
        </w:rPr>
        <w:t>ΑΛΚΟΟΛΟΥΧΩΝ ΠΟΤΩΝ, ΟΙΝΟΥ &amp; ΖΥΘΟΥ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Ταχ. Διεύθυνση: Αν. Τσόχα 16</w:t>
      </w:r>
    </w:p>
    <w:p>
      <w:pPr>
        <w:spacing w:before="240" w:after="240"/>
        <w:rPr>
          <w:lang w:val="el" w:eastAsia="el"/>
        </w:rPr>
      </w:pPr>
      <w:r>
        <w:rPr>
          <w:b/>
          <w:bCs/>
          <w:lang w:val="el" w:eastAsia="el"/>
        </w:rPr>
        <w:t>Ταχ. Κώδικας: 11521, Αθήνα</w:t>
      </w:r>
    </w:p>
    <w:p>
      <w:pPr>
        <w:spacing w:before="240" w:after="240"/>
        <w:rPr>
          <w:lang w:val="el" w:eastAsia="el"/>
        </w:rPr>
      </w:pPr>
      <w:r>
        <w:rPr>
          <w:b/>
          <w:bCs/>
          <w:lang w:val="el" w:eastAsia="el"/>
        </w:rPr>
        <w:t>Πληροφορίες: Α. Σκορδάκη</w:t>
      </w:r>
    </w:p>
    <w:p>
      <w:pPr>
        <w:spacing w:before="240" w:after="240"/>
        <w:rPr>
          <w:lang w:val="el" w:eastAsia="el"/>
        </w:rPr>
      </w:pPr>
      <w:r>
        <w:rPr>
          <w:b/>
          <w:bCs/>
          <w:lang w:val="el" w:eastAsia="el"/>
        </w:rPr>
        <w:t>Σ. Κυριακίδης</w:t>
      </w:r>
    </w:p>
    <w:p>
      <w:pPr>
        <w:spacing w:before="240" w:after="240"/>
        <w:rPr>
          <w:lang w:val="el" w:eastAsia="el"/>
        </w:rPr>
      </w:pPr>
      <w:r>
        <w:rPr>
          <w:b/>
          <w:bCs/>
          <w:lang w:val="el" w:eastAsia="el"/>
        </w:rPr>
        <w:t>Τηλέφωνο: 213-2117273</w:t>
      </w:r>
    </w:p>
    <w:p>
      <w:pPr>
        <w:spacing w:before="240" w:after="240"/>
        <w:rPr>
          <w:lang w:val="el" w:eastAsia="el"/>
        </w:rPr>
      </w:pPr>
      <w:r>
        <w:rPr>
          <w:b/>
          <w:bCs/>
          <w:lang w:val="el" w:eastAsia="el"/>
        </w:rPr>
        <w:t>Fax: 210-6468272</w:t>
      </w:r>
    </w:p>
    <w:p>
      <w:pPr>
        <w:spacing w:before="240" w:after="240"/>
        <w:rPr>
          <w:lang w:val="el" w:eastAsia="el"/>
        </w:rPr>
      </w:pPr>
      <w:r>
        <w:rPr>
          <w:b/>
          <w:bCs/>
          <w:lang w:val="el" w:eastAsia="el"/>
        </w:rPr>
        <w:t xml:space="preserve">Ε-mail: </w:t>
      </w:r>
      <w:hyperlink r:id="rId4" w:history="1">
        <w:r>
          <w:rPr>
            <w:rStyle w:val="Hyperlink"/>
            <w:b/>
            <w:bCs/>
            <w:color w:val="0000EE"/>
            <w:u w:color="0000EE"/>
            <w:lang w:val="el" w:eastAsia="el"/>
          </w:rPr>
          <w:t>alkooli@gcsl.gr</w:t>
        </w:r>
      </w:hyperlink>
    </w:p>
    <w:p>
      <w:pPr>
        <w:spacing w:before="240" w:after="240"/>
        <w:rPr>
          <w:lang w:val="el" w:eastAsia="el"/>
        </w:rPr>
      </w:pPr>
      <w:r>
        <w:rPr>
          <w:lang w:val="el" w:eastAsia="el"/>
        </w:rPr>
        <w:t>G:\FLASH_040512\D29-EKSERXOMENA\additives_in_spirit_drinks2.doc</w:t>
      </w:r>
    </w:p>
    <w:p>
      <w:pPr>
        <w:spacing w:before="240" w:after="240"/>
        <w:rPr>
          <w:lang w:val="el" w:eastAsia="el"/>
        </w:rPr>
      </w:pPr>
      <w:r>
        <w:rPr>
          <w:b/>
          <w:bCs/>
          <w:lang w:val="el" w:eastAsia="el"/>
        </w:rPr>
        <w:t>ΘΕΜΑ : «Εκτελεστικός κανονισμός (ΕΕ) 716/2013 για τη θέσπιση κανόνων εφαρμογής του κανονισμού (ΕΚ) 110/2008»</w:t>
      </w:r>
    </w:p>
    <w:p>
      <w:pPr>
        <w:spacing w:before="240" w:after="240"/>
        <w:rPr>
          <w:lang w:val="el" w:eastAsia="el"/>
        </w:rPr>
      </w:pPr>
      <w:r>
        <w:rPr>
          <w:lang w:val="el" w:eastAsia="el"/>
        </w:rPr>
        <w:t>Σας ενημερώνουμε ότι έχει δημοσιευθεί στην Επίσημη Εφημερίδα της Ευρωπαϊκής Ένωσης ο εκτελεστικός κανονισμός (ΕΕ) αριθ. 716/2013 της Επιτροπής της 25/7/2013 για τη θέσπιση των κανόνων εφαρμογής του κανονισμού (ΕΚ) αριθ. 110/2008 του Ευρωπαϊκού Κοινοβουλίου και του Συμβουλίου σχετικά με τον ορισμό, την περιγραφή, την παρουσίαση, την επισήμανση και την προστασία των γεωγραφικών ενδείξεων των αλκοολούχων ποτών.</w:t>
      </w:r>
    </w:p>
    <w:p>
      <w:pPr>
        <w:spacing w:before="240" w:after="240"/>
        <w:rPr>
          <w:lang w:val="el" w:eastAsia="el"/>
        </w:rPr>
      </w:pPr>
      <w:r>
        <w:rPr>
          <w:lang w:val="el" w:eastAsia="el"/>
        </w:rPr>
        <w:t>Με τον κανονισμό (ΕΕ) 716/2013 θεσπίζονται κανόνες για την εφαρμογή του καν. (ΕΚ) 110/2008 σε ότι αφορά (α) τη χρήση σύνθετων όρων και μνειών σε εφαρμογή του άρθρου 10 του καν. (ΕΚ) 110/2008 και (β) τις γεωγραφικές ενδείξεις (Γ.Ε.) των αλκοολούχων ποτών και τη χρήση ενωσιακού συμβόλου για τις καταχωρημένες Γ.Ε.</w:t>
      </w:r>
    </w:p>
    <w:p>
      <w:pPr>
        <w:spacing w:before="240" w:after="240"/>
        <w:rPr>
          <w:lang w:val="el" w:eastAsia="el"/>
        </w:rPr>
      </w:pPr>
      <w:r>
        <w:rPr>
          <w:lang w:val="el" w:eastAsia="el"/>
        </w:rPr>
        <w:t>Τα σημαντικότερα σημεία που εισάγει ο παρών κανονισμός συνοψίζονται στα εξής:</w:t>
      </w:r>
    </w:p>
    <w:p>
      <w:pPr>
        <w:spacing w:before="240" w:after="240"/>
        <w:rPr>
          <w:lang w:val="el" w:eastAsia="el"/>
        </w:rPr>
      </w:pPr>
      <w:r>
        <w:rPr>
          <w:lang w:val="el" w:eastAsia="el"/>
        </w:rPr>
        <w:t>1. Δίνονται οι ορισμοί του σύνθετου όρου (compound term) και της μνείας (allusion) και εξειδικεύονται οι κανόνες χρήσης τους, πέραν των όσων ορίζει το άρθρο 10 του καν. (ΕΚ) 110/2008.</w:t>
      </w:r>
    </w:p>
    <w:p>
      <w:pPr>
        <w:spacing w:before="240" w:after="240"/>
        <w:rPr>
          <w:lang w:val="el" w:eastAsia="el"/>
        </w:rPr>
      </w:pPr>
      <w:r>
        <w:rPr>
          <w:lang w:val="el" w:eastAsia="el"/>
        </w:rPr>
        <w:t>2. Διευκρινίζεται ότι ένας σύνθετος όρος, όταν χρησιμοποιείται στην παρουσίαση ενός αλκοολούχου ποτού, δεν μπορεί να υποκαθιστά την επωνυμία πώλησης αυτού του αλκοολούχου ποτού. Διευκρινίζεται επίσης ότι ένας σύνθετος όρος δεν μπορεί να περιλαμβάνει ως συστατικό του τον όρο «αλκοολούχο ποτό». Τέλος, διευκρινίζεται ότι δεν μπορεί να χρησιμοποιείται σύνθετος όρος ο οποίος να προκύπτει από τον συνδυασμό μιας εκ των κατηγοριών 33 έως 40 του παραρτήματος ΙΙ (κατηγορίες λικέρ) του καν. (ΕΚ) 110/2008 με τον όρο «λικέρ».</w:t>
      </w:r>
    </w:p>
    <w:p>
      <w:pPr>
        <w:spacing w:before="240" w:after="240"/>
        <w:rPr>
          <w:lang w:val="el" w:eastAsia="el"/>
        </w:rPr>
      </w:pPr>
      <w:r>
        <w:rPr>
          <w:lang w:val="el" w:eastAsia="el"/>
        </w:rPr>
        <w:t>3. Αποσαφηνίζεται ότι για την εφαρμογή της παρ. 2 του άρθρου 10 του καν. (ΕΚ) 110/2008, ως αραίωση θεωρείται αποκλειστικά η προσθήκη νερού. Πρακτικά, αν ένα αλκοολούχο ποτό αραιωθεί με κάτι άλλο εκτός νερού (πχ. αναψυκτικό, χυμός) τόσο ώστε ο αλκοολικός του τίτλος να είναι μικρότερος από τον αλκοολικό τίτλο που προβλέπεται στον ορισμό του εν λόγω αλκοολούχου ποτού, δεν ισχύει η απαγόρευση χρήσης σύνθετου όρου ο οποίος να περιλαμβάνει την ονομασία πώλησης αυτού.</w:t>
      </w:r>
    </w:p>
    <w:p>
      <w:pPr>
        <w:spacing w:before="240" w:after="240"/>
        <w:rPr>
          <w:lang w:val="el" w:eastAsia="el"/>
        </w:rPr>
      </w:pPr>
      <w:r>
        <w:rPr>
          <w:lang w:val="el" w:eastAsia="el"/>
        </w:rPr>
        <w:t>4. Δίνονται στο κεφάλαιο ΙΙΙ (άρθρα 6 έως 22) λεπτομερείς κανόνες χειρισμού των Γ.Ε. οι οποίες αφορούν τις υποχρεώσεις των αιτούντων (πχ τι πρέπει να περιλαμβάνει η αίτηση και ο τεχνικός φάκελος), υποχρεώσεις και αρμοδιότητες της Επιτροπής (πχ χρονικές προθεσμίες, προϋποθέσεις για την απόρριψη μιας αίτησης), ρυθμίσεις για τον τρόπο υποβολής διασυνοριακών αιτήσεων, προβλέψεις για τις ενστάσεις και τις αιτήσεις ακύρωσης, καθώς και ειδικές προβλέψεις για τις ήδη καταχωρημένες Γ.Ε.</w:t>
      </w:r>
    </w:p>
    <w:p>
      <w:pPr>
        <w:spacing w:before="240" w:after="240"/>
        <w:rPr>
          <w:lang w:val="el" w:eastAsia="el"/>
        </w:rPr>
      </w:pPr>
      <w:r>
        <w:rPr>
          <w:lang w:val="el" w:eastAsia="el"/>
        </w:rPr>
        <w:t>Υπενθυμίζεται ότι με βάση την εθνική νομοθεσία (απόφαση Υπουργού Οικονομικών 30/077/2131/2011, ΦΕΚ 1946/Β/31-8-2011), το αίτημα για αναγνώριση Γ.Ε. σε επίπεδο Ένωσης υποβάλλεται στην Ευρωπαϊκή Επιτροπή από την Διεύθυνση Α.Α.Π.Ο.Ζ. αφού έχουν προηγηθεί (α) σχετικό αίτημα των ενδιαφερομένων και (β) ιδιαίτερη απόφαση του Υπουργού Οικονομικών (εδάφιο β και πρώτη παύλα του εδαφίου α της παρ. 3 του άρθρου 5 της ως άνω απόφασης, αντίστοιχα).</w:t>
      </w:r>
    </w:p>
    <w:p>
      <w:pPr>
        <w:spacing w:before="240" w:after="240"/>
        <w:rPr>
          <w:lang w:val="el" w:eastAsia="el"/>
        </w:rPr>
      </w:pPr>
      <w:r>
        <w:rPr>
          <w:lang w:val="el" w:eastAsia="el"/>
        </w:rPr>
        <w:t>5. Επεκτείνεται και για τα αλκοολούχα ποτά με Γ.Ε. η δυνατότητα χρήσης του ενωσιακού συμβόλου για τις καταχωρημένες Γ.Ε. με την ένδειξη «ΠΡΟΣΤΑΤΕΥΟΜΕΝΗ ΓΕΩΓΡΑΦΙΚΗ ΕΝΔΕΙΞΗ», όπως καθορίζεται στο παράρτημα V του κανονισμού (ΕΚ) 1898/2006 και το οποίο αναπαράγεται όπως προβλέπεται στο εν λόγω παράρτημα. Το σύμβολο αυτό δεν μπορεί να χρησιμοποιείται μαζί με σύνθετο όρο που περιλαμβάνει Γ.Ε. Η παρουσία του συμβόλου στην ετικέτα ενός αλκοολούχου ποτού προϋποθέτει την ταυτόχρονη αναγραφή της αντίστοιχης Γ.Ε.</w:t>
      </w:r>
    </w:p>
    <w:p>
      <w:pPr>
        <w:spacing w:before="240" w:after="240"/>
        <w:rPr>
          <w:lang w:val="el" w:eastAsia="el"/>
        </w:rPr>
      </w:pPr>
      <w:r>
        <w:rPr>
          <w:lang w:val="el" w:eastAsia="el"/>
        </w:rPr>
        <w:t xml:space="preserve">Διευκρινίζεται ότι </w:t>
      </w:r>
      <w:r>
        <w:rPr>
          <w:b/>
          <w:bCs/>
          <w:lang w:val="el" w:eastAsia="el"/>
        </w:rPr>
        <w:t xml:space="preserve">δικαίωμα χρήσης του συμβόλου με την ένδειξη «ΠΡΟΣΤΑ- ΤΕΥΟΜΕΝΗ ΓΕΩΓΡΑΦΙΚΗ ΕΝΔΕΙΞΗ» έχουν μόνο οι αναγνωρισμένες σε ενωσιακό επίπεδο Γ.Ε. </w:t>
      </w:r>
      <w:r>
        <w:rPr>
          <w:lang w:val="el" w:eastAsia="el"/>
        </w:rPr>
        <w:t>(δηλ. οι καταχωρημένες στο παράρτημα ΙΙΙ του καν. (ΕΚ) 110/2008), ήτοι: Ούζο, Ούζο Μυτιλήνης, Ούζο Πλωμαρίου, Ούζο Καλαμάτας, Ούζο Θράκης, Ούζο Μακεδονίας, Τσικουδιά, Τσικουδιά Κρήτης, Τσίπουρο, Τσίπουρο Μακεδονίας, Τσίπουρο Θεσσαλίας, Τσίπουρο Τυρνάβου, Brandy Αττικής, Brandy Πελοποννήσου, Brandy Κεντρικής Ελλάδας, Μαστίχα Χίου, Κίτρο Νάξου, Κουμκουάτ Κέρκυρας και Τεντούρα.) Για τη χρήση του συμβόλου δεν απαιτείται ειδική άδεια ή γνωστοποίηση στην αρμόδια Χ.Υ. και αποκλειστικά υπεύθυνος για τη χρήση της είναι ο ποτοποιός. Εξυπακούεται ότι η χωρίς δικαίωμα χρήση του ενωσιακού συμβόλου για τις Γ.Ε., παραβιάζει τις διατάξεις περί Γ.Ε. αλκοοολούχων ποτών και τιμωρείται με ό,τι η εθνική νομοθεσία προβλέπει.</w:t>
      </w:r>
    </w:p>
    <w:p>
      <w:pPr>
        <w:spacing w:before="240" w:after="240"/>
        <w:rPr>
          <w:lang w:val="el" w:eastAsia="el"/>
        </w:rPr>
      </w:pPr>
      <w:r>
        <w:rPr>
          <w:lang w:val="el" w:eastAsia="el"/>
        </w:rPr>
        <w:t>6. Παρατίθενται, υπό μορφή παραρτημάτων του κανονισμού, υποδείγματα της αίτησης καταχώρησης Γ.Ε., του τεχνικού φακέλου, των αιτήσεων ένστασης και ακύρωσης, καθώς και της αίτησης τροποποίησης του τεχνικού φακέλου.</w:t>
      </w:r>
    </w:p>
    <w:p>
      <w:pPr>
        <w:spacing w:before="240" w:after="240"/>
        <w:rPr>
          <w:lang w:val="el" w:eastAsia="el"/>
        </w:rPr>
      </w:pPr>
      <w:r>
        <w:rPr>
          <w:lang w:val="el" w:eastAsia="el"/>
        </w:rPr>
        <w:t>Να σημειωθεί ότι κατά την απόδοση του κειμένου του κανονισμού στα ελληνικά, δεν έχει μεταφερθεί σωστά ο όρος “alcoholic beverage”, στα άρθρα 3 και 4 του κανονισμού. O συγκεκριμένος όρος περιγράφει μία γενική κατηγορία ποτών, στα ελληνικά αποδίδεται ως «ποτό με αλκοόλη» και περιλαμβάνει τα αλκοολούχα ποτά, τους οίνους, τα αρωματισμένα αμπελοοινικά προϊόντα, τις μπύρες, ποτά μπύρας, ποτά από ζύμωση και χαμηλόβαθμα αλκοολούχα ποτά (βλ. πρόσφατη τροποποίηση του άρθρου 144 του Κ.Τ.Π., θα ακολουθήσει σχετική εγκύκλιος της Δ/νσης Α.Α.Π.Ο.Ζ.). Η Δ/νσή μας έχει κάνει τις απαραίτητες επαφές με τις υπηρεσίες της Επιτροπής για να δρομολογηθεί η διόρθωση του κειμένου του κανονισμού. Σας στέλνουμε σε ξεχωριστό φύλλο το κείμενο των άρθρων 3 και 4 όπου, για διευκόλυνσή σας, έχουν γίνει ανεπίσημα οι μελλοντικές διορθώσεις.</w:t>
      </w:r>
    </w:p>
    <w:p>
      <w:pPr>
        <w:spacing w:before="240" w:after="240"/>
        <w:rPr>
          <w:lang w:val="el" w:eastAsia="el"/>
        </w:rPr>
      </w:pPr>
      <w:r>
        <w:rPr>
          <w:lang w:val="el" w:eastAsia="el"/>
        </w:rPr>
        <w:t xml:space="preserve">Ο κανονισμός ισχύει από 2/8/2013 και </w:t>
      </w:r>
      <w:r>
        <w:rPr>
          <w:b/>
          <w:bCs/>
          <w:lang w:val="el" w:eastAsia="el"/>
        </w:rPr>
        <w:t>εφαρμόζεται από 1/9/2013, με εξαίρεση τα άρθρα 3 και 4 που εφαρμόζονται από 1/3/2015.</w:t>
      </w:r>
    </w:p>
    <w:p>
      <w:pPr>
        <w:spacing w:before="240" w:after="240"/>
        <w:rPr>
          <w:lang w:val="el" w:eastAsia="el"/>
        </w:rPr>
      </w:pPr>
      <w:r>
        <w:rPr>
          <w:lang w:val="el" w:eastAsia="el"/>
        </w:rPr>
        <w:t>Ο αναφερόμενος κανονισμός αποστέλλεται σε ηλεκτρονική μορφή και μπορεί σε κάθε περίπτωση να αναζητηθεί είτε στο δικτυακό τόπο της Επίσημης Εφημερίδας της ΕΕ, είτε στο δικτυακό τόπο του Γ.Χ.Κ. Αποστέλλεται επίσης ηλεκτρονικά το παράρτημα V του καν. (ΕΚ) 1898/2006.</w:t>
      </w:r>
    </w:p>
    <w:p>
      <w:pPr>
        <w:spacing w:before="240" w:after="240"/>
        <w:rPr>
          <w:lang w:val="el" w:eastAsia="el"/>
        </w:rPr>
      </w:pPr>
      <w:r>
        <w:rPr>
          <w:lang w:val="el" w:eastAsia="el"/>
        </w:rPr>
        <w:t>Παραμένουμε στη διάθεσή σας για οποιαδήποτε περαιτέρω διευκρίνιση ή πληροφορία.</w:t>
      </w:r>
    </w:p>
    <w:p>
      <w:pPr>
        <w:spacing w:before="240" w:after="240"/>
        <w:rPr>
          <w:lang w:val="el" w:eastAsia="el"/>
        </w:rPr>
      </w:pPr>
      <w:r>
        <w:rPr>
          <w:b/>
          <w:bCs/>
          <w:lang w:val="el" w:eastAsia="el"/>
        </w:rPr>
        <w:t>Ο Προϊστάμενος της Δ/νσης</w:t>
      </w:r>
    </w:p>
    <w:p>
      <w:pPr>
        <w:spacing w:before="240" w:after="240"/>
        <w:rPr>
          <w:lang w:val="el" w:eastAsia="el"/>
        </w:rPr>
      </w:pPr>
      <w:r>
        <w:rPr>
          <w:b/>
          <w:bCs/>
          <w:lang w:val="el" w:eastAsia="el"/>
        </w:rPr>
        <w:t>Γεώργιος Σιαμαντάς</w:t>
      </w:r>
    </w:p>
    <w:p>
      <w:pPr>
        <w:spacing w:before="240" w:after="240"/>
        <w:rPr>
          <w:lang w:val="el" w:eastAsia="el"/>
        </w:rPr>
      </w:pPr>
      <w:r>
        <w:rPr>
          <w:b/>
          <w:bCs/>
          <w:u w:val="single"/>
          <w:lang w:val="el" w:eastAsia="el"/>
        </w:rPr>
        <w:t>Συνημμένα:</w:t>
      </w:r>
      <w:r>
        <w:rPr>
          <w:b/>
          <w:bCs/>
          <w:lang w:val="el" w:eastAsia="el"/>
        </w:rPr>
        <w:t>Πίνακας Διανομής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1) </w:t>
      </w:r>
      <w:r>
        <w:rPr>
          <w:b/>
          <w:bCs/>
          <w:lang w:val="el" w:eastAsia="el"/>
        </w:rPr>
        <w:t>Υπουργείο Οικονομικών</w:t>
      </w:r>
    </w:p>
    <w:p>
      <w:pPr>
        <w:spacing w:before="240" w:after="240"/>
        <w:rPr>
          <w:lang w:val="el" w:eastAsia="el"/>
        </w:rPr>
      </w:pPr>
      <w:r>
        <w:rPr>
          <w:b/>
          <w:bCs/>
          <w:u w:val="single"/>
          <w:lang w:val="el" w:eastAsia="el"/>
        </w:rPr>
        <w:t>Γενικό Χημείο του Κράτους</w:t>
      </w:r>
    </w:p>
    <w:p>
      <w:pPr>
        <w:pStyle w:val="StructureList1"/>
        <w:spacing w:before="120" w:after="0"/>
        <w:rPr>
          <w:lang w:val="el" w:eastAsia="el"/>
        </w:rPr>
      </w:pPr>
      <w:r>
        <w:rPr>
          <w:b/>
          <w:bCs/>
          <w:lang w:val="el" w:eastAsia="el"/>
        </w:rPr>
        <w:t>-</w:t>
      </w:r>
      <w:r>
        <w:rPr>
          <w:b/>
          <w:bCs/>
          <w:lang w:val="en" w:eastAsia="en"/>
        </w:rPr>
        <w:tab/>
      </w:r>
      <w:r>
        <w:rPr>
          <w:b/>
          <w:bCs/>
          <w:lang w:val="el" w:eastAsia="el"/>
        </w:rPr>
        <w:t>Χημικές Υπηρεσίες Γ.Χ.Κ. (</w:t>
      </w:r>
      <w:r>
        <w:rPr>
          <w:b/>
          <w:bCs/>
          <w:u w:val="single"/>
          <w:lang w:val="el" w:eastAsia="el"/>
        </w:rPr>
        <w:t>αποστολή με e-mail</w:t>
      </w:r>
      <w:r>
        <w:rPr>
          <w:b/>
          <w:bCs/>
          <w:lang w:val="el" w:eastAsia="el"/>
        </w:rPr>
        <w:t>)</w:t>
      </w:r>
    </w:p>
    <w:p>
      <w:pPr>
        <w:spacing w:before="240" w:after="240"/>
        <w:rPr>
          <w:lang w:val="el" w:eastAsia="el"/>
        </w:rPr>
      </w:pPr>
      <w:r>
        <w:rPr>
          <w:b/>
          <w:bCs/>
          <w:lang w:val="el" w:eastAsia="el"/>
        </w:rPr>
        <w:t xml:space="preserve">2) </w:t>
      </w:r>
      <w:r>
        <w:rPr>
          <w:b/>
          <w:bCs/>
          <w:lang w:val="el" w:eastAsia="el"/>
        </w:rPr>
        <w:t>Υπουργείο Αγροτικής Ανάπτυξης και Τροφίμων</w:t>
      </w:r>
    </w:p>
    <w:p>
      <w:pPr>
        <w:spacing w:before="240" w:after="240"/>
        <w:rPr>
          <w:lang w:val="el" w:eastAsia="el"/>
        </w:rPr>
      </w:pPr>
      <w:r>
        <w:rPr>
          <w:b/>
          <w:bCs/>
          <w:u w:val="single"/>
          <w:lang w:val="el" w:eastAsia="el"/>
        </w:rPr>
        <w:t>Ε.Φ.Ε.Τ.</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Γραφείο Προέδρου </w:t>
      </w:r>
      <w:hyperlink r:id="rId5" w:history="1">
        <w:r>
          <w:rPr>
            <w:rStyle w:val="Hyperlink"/>
            <w:b/>
            <w:bCs/>
            <w:color w:val="0000EE"/>
            <w:u w:color="0000EE"/>
            <w:lang w:val="el" w:eastAsia="el"/>
          </w:rPr>
          <w:t>info@efet.gr</w:t>
        </w:r>
      </w:hyperlink>
      <w:r>
        <w:rPr>
          <w:b/>
          <w:bCs/>
          <w:lang w:val="el" w:eastAsia="el"/>
        </w:rPr>
        <w:t>;</w:t>
      </w:r>
    </w:p>
    <w:p>
      <w:pPr>
        <w:spacing w:before="240" w:after="240"/>
        <w:rPr>
          <w:lang w:val="el" w:eastAsia="el"/>
        </w:rPr>
      </w:pPr>
      <w:r>
        <w:rPr>
          <w:b/>
          <w:bCs/>
          <w:lang w:val="el" w:eastAsia="el"/>
        </w:rPr>
        <w:t xml:space="preserve">3) </w:t>
      </w:r>
      <w:r>
        <w:rPr>
          <w:b/>
          <w:bCs/>
          <w:lang w:val="el" w:eastAsia="el"/>
        </w:rPr>
        <w:t xml:space="preserve">Σύνδεσμος Ελληνικών Αποσταγμάτων και Αλκοολούχων Ποτών (ΣΕΑΟΠ) </w:t>
      </w:r>
      <w:hyperlink r:id="rId6"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4) </w:t>
      </w:r>
      <w:r>
        <w:rPr>
          <w:b/>
          <w:bCs/>
          <w:lang w:val="el" w:eastAsia="el"/>
        </w:rPr>
        <w:t xml:space="preserve">Ένωση Αποσταγματοποιών Αμπελοοινικών Προϊόντων Ελλάδας (ΕΝΑΠΑΠΕ) </w:t>
      </w:r>
      <w:hyperlink r:id="rId7"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5) </w:t>
      </w:r>
      <w:r>
        <w:rPr>
          <w:b/>
          <w:bCs/>
          <w:lang w:val="el" w:eastAsia="el"/>
        </w:rPr>
        <w:t xml:space="preserve">Ένωση Επιχειρήσεων Αλκοολούχων Ποτών (ΕΝ.Ε.Α.Π.) </w:t>
      </w:r>
      <w:hyperlink r:id="rId8" w:history="1">
        <w:r>
          <w:rPr>
            <w:rStyle w:val="Hyperlink"/>
            <w:b/>
            <w:bCs/>
            <w:color w:val="0000EE"/>
            <w:u w:color="0000EE"/>
            <w:lang w:val="el" w:eastAsia="el"/>
          </w:rPr>
          <w:t>sp@downtown.com.gr</w:t>
        </w:r>
      </w:hyperlink>
    </w:p>
    <w:p>
      <w:pPr>
        <w:spacing w:before="240" w:after="240"/>
        <w:rPr>
          <w:lang w:val="el" w:eastAsia="el"/>
        </w:rPr>
      </w:pPr>
      <w:r>
        <w:rPr>
          <w:b/>
          <w:bCs/>
          <w:u w:val="single"/>
          <w:lang w:val="el" w:eastAsia="el"/>
        </w:rPr>
        <w:t>Εσωτερική διανομή</w:t>
      </w:r>
    </w:p>
    <w:p>
      <w:pPr>
        <w:spacing w:before="240" w:after="240"/>
        <w:rPr>
          <w:lang w:val="el" w:eastAsia="el"/>
        </w:rPr>
      </w:pPr>
      <w:r>
        <w:rPr>
          <w:b/>
          <w:bCs/>
          <w:lang w:val="el" w:eastAsia="el"/>
        </w:rPr>
        <w:t>1. Υφυπουργό Οικονομικών κ. Γ. Μαυραγάνη</w:t>
      </w:r>
    </w:p>
    <w:p>
      <w:pPr>
        <w:spacing w:before="240" w:after="240"/>
        <w:rPr>
          <w:lang w:val="el" w:eastAsia="el"/>
        </w:rPr>
      </w:pPr>
      <w:r>
        <w:rPr>
          <w:b/>
          <w:bCs/>
          <w:lang w:val="el" w:eastAsia="el"/>
        </w:rPr>
        <w:t>2. Γενικό Γραμματέα Δημοσίων Εσόδων κ. Χ. Θεοχάρη</w:t>
      </w:r>
    </w:p>
    <w:p>
      <w:pPr>
        <w:spacing w:before="240" w:after="240"/>
        <w:rPr>
          <w:lang w:val="el" w:eastAsia="el"/>
        </w:rPr>
      </w:pPr>
      <w:r>
        <w:rPr>
          <w:b/>
          <w:bCs/>
          <w:lang w:val="el" w:eastAsia="el"/>
        </w:rPr>
        <w:t>3. Προϊσταμένη Γεν. Δ/νσης Γ.Χ.Κ. κ. Α. Παπαθανασίου</w:t>
      </w:r>
    </w:p>
    <w:p>
      <w:pPr>
        <w:spacing w:before="240" w:after="240"/>
        <w:rPr>
          <w:lang w:val="el" w:eastAsia="el"/>
        </w:rPr>
      </w:pPr>
      <w:r>
        <w:rPr>
          <w:b/>
          <w:bCs/>
          <w:lang w:val="el" w:eastAsia="el"/>
        </w:rPr>
        <w:t>4. Διεύθυνση Αλκοόλης, Αλκοολούχων Ποτών, Οίνου, Ζύθου</w:t>
      </w:r>
    </w:p>
    <w:p>
      <w:pPr>
        <w:spacing w:before="240" w:after="240"/>
        <w:rPr>
          <w:lang w:val="el" w:eastAsia="el"/>
        </w:rPr>
      </w:pPr>
      <w:r>
        <w:rPr>
          <w:b/>
          <w:bCs/>
          <w:lang w:val="el" w:eastAsia="el"/>
        </w:rPr>
        <w:t>5. Διεύθυνση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kooli@gcsl.gr" TargetMode="External" /><Relationship Id="rId5" Type="http://schemas.openxmlformats.org/officeDocument/2006/relationships/hyperlink" Target="mailto:info@efet.gr" TargetMode="External" /><Relationship Id="rId6" Type="http://schemas.openxmlformats.org/officeDocument/2006/relationships/hyperlink" Target="mailto:seaop@hol.gr" TargetMode="External" /><Relationship Id="rId7" Type="http://schemas.openxmlformats.org/officeDocument/2006/relationships/hyperlink" Target="mailto:enapape@gmail.com" TargetMode="External" /><Relationship Id="rId8" Type="http://schemas.openxmlformats.org/officeDocument/2006/relationships/hyperlink" Target="mailto:sp@downtown.com.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