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Heading1"/>
        <w:spacing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ν η ρ Σ βί ς 1 4 ή π υ 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 φω </w:t>
      </w:r>
      <w:r>
        <w:rPr>
          <w:u w:val="single"/>
          <w:lang w:val="el" w:eastAsia="el"/>
        </w:rPr>
        <w:t xml:space="preserve">9 4 1 9 4 </w:t>
      </w:r>
      <w:r>
        <w:rPr>
          <w:lang w:val="el" w:eastAsia="el"/>
        </w:rPr>
        <w:t xml:space="preserve">i </w:t>
      </w:r>
      <w:r>
        <w:rPr>
          <w:u w:val="single"/>
          <w:lang w:val="el" w:eastAsia="el"/>
        </w:rPr>
        <w:t>ii t n t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, τ βρί υ τ </w:t>
      </w:r>
      <w:r>
        <w:rPr>
          <w:b/>
          <w:bCs/>
          <w:lang w:val="el" w:eastAsia="el"/>
        </w:rPr>
        <w:t>1 0 6 6 Ε 2 1 Ρ :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π ίηση ν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 0 3 ια η π η ο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ο ο ωσή ς σι κό ων ακ δ α Καν 1 ο ατ ε ν 2 Εκσ χ ο ων ακό Κώ ς) από τ κ β ου σι κό ε ων κό ς Εν α ς κο ο ς άρθ ο 2 : ι τ ε ν ρθ ν ο ν φ ο ι σ η ε ών αι ατ ο οδ ράξ ν αι τ ξ ρθ ο «Ε β ρύ αι ο » θε σ ε μ ή πό 3 κ β 2 ό α ρ </w:t>
      </w:r>
      <w:r>
        <w:rPr>
          <w:b/>
          <w:bCs/>
          <w:lang w:val="el" w:eastAsia="el"/>
        </w:rPr>
        <w:t xml:space="preserve">ότ </w:t>
      </w:r>
      <w:r>
        <w:rPr>
          <w:lang w:val="el" w:eastAsia="el"/>
        </w:rPr>
        <w:t xml:space="preserve">πό ο αμ ισμ αλλίας, σ ων κό φ αρ μ ς ς τ φ Π Ε Κ , ων ά ο πα . τ Ε ε ο ε τ ξ θε ι </w:t>
      </w:r>
      <w:r>
        <w:rPr>
          <w:b/>
          <w:bCs/>
          <w:lang w:val="el" w:eastAsia="el"/>
        </w:rPr>
        <w:t xml:space="preserve">μογή ου ου 2 </w:t>
      </w:r>
      <w:r>
        <w:rPr>
          <w:lang w:val="el" w:eastAsia="el"/>
        </w:rPr>
        <w:t xml:space="preserve">ν θ θ ο α τ ω υ σ ο ράξ . </w:t>
      </w:r>
      <w:r>
        <w:rPr>
          <w:u w:val="single"/>
          <w:lang w:val="el" w:eastAsia="el"/>
        </w:rPr>
        <w:t>ν τ ω αι α ρ ο αι</w:t>
      </w:r>
      <w:r>
        <w:rPr>
          <w:lang w:val="el" w:eastAsia="el"/>
        </w:rPr>
        <w:t xml:space="preserve"> ξ </w:t>
      </w:r>
      <w:r>
        <w:rPr>
          <w:u w:val="single"/>
          <w:lang w:val="el" w:eastAsia="el"/>
        </w:rPr>
        <w:t xml:space="preserve">γι σι κ ων ακό φ </w:t>
      </w:r>
      <w:r>
        <w:rPr>
          <w:b/>
          <w:bCs/>
          <w:u w:val="single"/>
          <w:lang w:val="el" w:eastAsia="el"/>
        </w:rPr>
        <w:t xml:space="preserve">ι α ς υ ά υ ε κ α ποχ α ν πορε μ κ οι τ τ α ν ουν ου μόζο ι δ α ς Κα κ </w:t>
      </w:r>
      <w:r>
        <w:rPr>
          <w:b/>
          <w:bCs/>
          <w:u w:val="single"/>
          <w:lang w:val="el" w:eastAsia="el"/>
        </w:rPr>
        <w:t xml:space="preserve">/ </w:t>
      </w:r>
      <w:r>
        <w:rPr>
          <w:b/>
          <w:bCs/>
          <w:u w:val="single"/>
          <w:lang w:val="el" w:eastAsia="el"/>
        </w:rPr>
        <w:t xml:space="preserve">ex europ </w:t>
      </w:r>
      <w:r>
        <w:rPr>
          <w:b/>
          <w:bCs/>
          <w:u w:val="single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u x ri exUr S r do </w:t>
      </w:r>
      <w:r>
        <w:rPr>
          <w:b/>
          <w:bCs/>
          <w:u w:val="single"/>
          <w:lang w:val="el" w:eastAsia="el"/>
        </w:rPr>
        <w:t xml:space="preserve">= </w:t>
      </w:r>
      <w:r>
        <w:rPr>
          <w:b/>
          <w:bCs/>
          <w:u w:val="single"/>
          <w:lang w:val="el" w:eastAsia="el"/>
        </w:rPr>
        <w:t xml:space="preserve">:L </w:t>
      </w:r>
      <w:r>
        <w:rPr>
          <w:b/>
          <w:bCs/>
          <w:u w:val="single"/>
          <w:lang w:val="el" w:eastAsia="el"/>
        </w:rPr>
        <w:t xml:space="preserve">0 3 6 :00 :010 </w:t>
      </w:r>
      <w:r>
        <w:rPr>
          <w:b/>
          <w:bCs/>
          <w:u w:val="single"/>
          <w:lang w:val="el" w:eastAsia="el"/>
        </w:rPr>
        <w:t xml:space="preserve">:EL: F </w:t>
      </w:r>
      <w:r>
        <w:rPr>
          <w:lang w:val="el" w:eastAsia="el"/>
        </w:rPr>
        <w:t xml:space="preserve">ι ων ακέ γα α ασ εν γο ι αν ά σ σι κο αι ο ων κ α ου τ η ο π η ε ς αι αρ ώ ι ν ν ι ν γκα α μ δ τ ξ ς τ ν Κ δ α. ρο λη έ η ωσ ν ων ακών ρχώ αι ο ε τ ή ο ς, πτ </w:t>
      </w:r>
      <w:r>
        <w:rPr>
          <w:b/>
          <w:bCs/>
          <w:lang w:val="el" w:eastAsia="el"/>
        </w:rPr>
        <w:t xml:space="preserve">ν π κ ροφ ρια ό μ ω </w:t>
      </w:r>
      <w:r>
        <w:rPr>
          <w:lang w:val="el" w:eastAsia="el"/>
        </w:rPr>
        <w:t>σ λλα έ ο σά ε ων κέ α ες, έ σ έ η ων κ ν ας και ν τ ων κώ δ δ ασ ν σ έ ε τ ο πε β λλο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 α Τ ημ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 Ο Η </w:t>
      </w:r>
      <w:r>
        <w:rPr>
          <w:u w:val="single"/>
          <w:lang w:val="el" w:eastAsia="el"/>
        </w:rPr>
        <w:t>Κ Σ Ι ΝΕΡ ΕΙ λ ι ς ν ) α</w:t>
      </w:r>
      <w:r>
        <w:rPr>
          <w:lang w:val="el" w:eastAsia="el"/>
        </w:rPr>
        <w:t xml:space="preserve"> ν μ ρ ω </w:t>
      </w:r>
      <w:r>
        <w:rPr>
          <w:u w:val="single"/>
          <w:lang w:val="el" w:eastAsia="el"/>
        </w:rPr>
        <w:t>. Κ Σ Ι ΟΙΝΟ Ι ΜΟΣ Ν Κ ΙΣ</w:t>
      </w:r>
      <w:r>
        <w:rPr>
          <w:lang w:val="el" w:eastAsia="el"/>
        </w:rPr>
        <w:t xml:space="preserve"> Λ Σ a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ΓΟ Κ ΙΣ Η Ω ΙΡ Ω a 10 1231 8) Λ ΓΟ Κ ΙΣ ΕΣΣ ΝΙΚΗΣ a 310 4294 )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Λ ΙΟΣ Σ ΟΣ Ξ Ω ΕΩ a 10 2425 8 Σ ΟΣ Ξ Ω ΕΩ Ο ΙΟ Λ Σ a 310 4323 )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 a 10 6164 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 Θ a 310 7010 )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ΘΝΙΚ ΜΟΣ Ν Π Ρ Σ a 10 2592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ΜΠ Ρ ΚΗ ΟΙΝΟ Α a 10 5300 1)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Σ ΡΙΚ 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εί . ο ρ εί υπου . α ρ εί εν έα μ ω σ εο ρ εί εν η λ ί Φ . η 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7 8 Φ , 3 Σ , Π 9 μ ,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ΣΙ Σ ΤΕΛΩΝ Ι Σ ΚΩΔΙ (Καν μ 52 013 Π Η Ο ΡΙ Η Ι </w:t>
      </w:r>
      <w:r>
        <w:rPr>
          <w:lang w:val="el" w:eastAsia="el"/>
        </w:rPr>
        <w:t xml:space="preserve">ωπαϊ ή ή ΕΕ) ατ ε ο ριο ρό σ ν δ τ ω σ χ ο ων κο δ α Κ ν 2 , ο ν μ ν λή α μ ή ργ ο ο ό ω: ) α μ ς ν δ τ ξ ν ε α μ τ ε λό ω Κ δ α, ν γκη ρά υ η ι ς» Συν η γι τ Λ τ γί τ ωπα ή ση ) κα ) ρο ρμ ων κ ας χ ο ε ί ε ε ε τ ο ή κ ν α ν χ ο γκ ν ο σι κ ε ων ακό δ ας ν δ τ ωσε σ χ ο α ρο ρη άπο ι κέ ο ο λη ώ στ ν ε ε σ ή ιλο α σ έ ι ο ς ρο ων κέ σ . λυ ό : </w:t>
      </w:r>
      <w:r>
        <w:rPr>
          <w:b/>
          <w:bCs/>
          <w:lang w:val="el" w:eastAsia="el"/>
        </w:rPr>
        <w:t>Ο ΕΝΙΚΟ Λ ΣΙ : ΙΝΗ ΗΡΙΕ Σ Χ ΝΙΣΜΟ Ο ΕΛ Ν Ο Κ ΔΙΚ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ανάγκη να καταστεί η Ευρώπη ένας ελκυστικότερος τόπος επενδύσεων και πα η , ρο θη ν ση αι αι ς ι ι μ ι ν πτ η αι ο ιτ έ ο ευ ο ή Ε ν ου γ πε ι κα καλύ ε γα 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επίτευξη των στόχων της πρωτοβουλίας για τις ηλεκτρονικές διοικητικές η ε ες, αθ ν ς τ ωφε ι λή ως πό σ χ ο τ ο ία κα ευ ό τ ν σ λλα ώ πο α άγε ι, αν πτ τ ν η ε τ ο ών τ ω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δημιουργία ενός απλού περιβάλλοντος χωρίς χαρτί για τα τελωνεία και τις ι ή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 ρ ν π ρ ακό σημε ω α δ έε μ κ κ ν σ κ σχ ό ρ ρ ακό χαρ κτ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ολοκλήρωση της εσωτερικής αγοράς, η μείωση των φραγμών στο διεθνές εμπόριο αι ε ι ν γκη αφύ αξ ά ε ς α ρο ς σ ωτ ι ά α σ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Ο νέος ρόλος των Τελωνείων: Ο ρόλος των τελωνείων μετατοπίζεται από την αξ ν σ ν ρο ρμ ή σ ι ών ων ε ι α ν ν ό α, ν ων ο φ ο σ ά ε α ρο , αρ ό ση ο τ αρ πο / πο , ατ πο έ μο ο ν πό αρ ν ασ α κ ρκωτ ν α μ ή ον ών ω αθ ς α μ ων ι ε , ε ιβ λλ αι τ ρο σ ν ατ ν λωτ ν αι ων ο φ ο σπρα η Π ι ν δι ών ό ων ατ ν λωσ ατ γωγή πα λαγή πό υ ό ο α α ωγή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ανάγκη προσαρμογής των τελωνειακών διαδικασιών: Ο τελωνειακός κώδικας ρέ ε ρο ρμ ι τ τ ό ε ιβ λλο ι ων αι ιο λλά αι ο ε υ ατ λλή ως λ τ ί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□ Η συνεργασία με τους οικονομικούς φορείς για τον περαιτέρω εκσυγχρονισμό της ων κ ν ας </w:t>
      </w:r>
      <w:r>
        <w:rPr>
          <w:b/>
          <w:bCs/>
          <w:lang w:val="el" w:eastAsia="el"/>
        </w:rPr>
        <w:t xml:space="preserve">ΙΚΕ ΕΝ Σ ΝΕ ΔΙ </w:t>
      </w:r>
      <w:r>
        <w:rPr>
          <w:lang w:val="el" w:eastAsia="el"/>
        </w:rPr>
        <w:t>ι ρχές ο ι ό ων κή α ο γά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ηλεκτρονική διεξαγωγή όλων των τελωνειακών και εμπορικών συναλλαγών,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εναρμονισμένη και τυποποιημένη εφαρμογή των τελωνειακών ελέγχων,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ελευθερία αντιπροσώπευσης για τις συναλλαγές με τις τελωνειακές αρχές,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Ίδιοι κανόνες για όλες τις αποφάσεις σχετικά με την εφαρμογή της τελωνειακής 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απλούστευση και διευκόλυνση των συμμορφούμενων προς τους κανόνες και ξ όπισ ο ο φο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Το δικαίωμα προηγούμενης ακρόασης του συναλλασσόμενου,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Το κοινό πλαίσιο διαχείρισης των κινδύνων και η ηλεκτρονική εφαρμογή του,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απλούστευση και ενοποίηση των κανόνων για τα ειδικά καθεστώτα,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ομοιόμορφη εφαρμογή των τελωνειακών κανόνων σε ολόκληρο το τελωνειακό φ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□ Η ελευθερία του διασαφιστή περί επιλογής τελωνειακού καθεστώτος βάσει των ων κα πρ ο ν πο ι </w:t>
      </w:r>
      <w:r>
        <w:rPr>
          <w:b/>
          <w:bCs/>
          <w:lang w:val="el" w:eastAsia="el"/>
        </w:rPr>
        <w:t>ΕΝΙΚΕΣ Ι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□ Η </w:t>
      </w:r>
      <w:r>
        <w:rPr>
          <w:b/>
          <w:bCs/>
          <w:lang w:val="el" w:eastAsia="el"/>
        </w:rPr>
        <w:t xml:space="preserve">αποστολή των τελωνειακών αρχών </w:t>
      </w:r>
      <w:r>
        <w:rPr>
          <w:lang w:val="el" w:eastAsia="el"/>
        </w:rPr>
        <w:t>είναι η εποπτεία του διεθνούς εμπορίου της ωση , α μ ο ς α πο ο ο ς ρο ν ών ό ν ση αι ν ρα ν ών, ρο σ ση πό α αρ ν ό φ αξ σ ά ς αι ρο ς σ αι τ η τ λλη ρο ς ν μ ων κ ε χ κα υ τ θ τ ε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□ Εισάγεται </w:t>
      </w:r>
      <w:r>
        <w:rPr>
          <w:b/>
          <w:bCs/>
          <w:lang w:val="el" w:eastAsia="el"/>
        </w:rPr>
        <w:t xml:space="preserve">η αρχή των ηλεκτρονικών διασαφήσεων και της ηλεκτρονικής ς μ </w:t>
      </w:r>
      <w:r>
        <w:rPr>
          <w:lang w:val="el" w:eastAsia="el"/>
        </w:rPr>
        <w:t>ξ ν ων κώ ή ν λή η ν ξ ν ι ρο σ ν αθ ς αι κή σ ια ν λλα ή ο ή σ λη ο ι ν ξ ο κώ ο έ ν αι ων κών α χ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Οι κανόνες για τους αντιπροσώπους τροποποιούνται, με την κατάργηση των ρο ο ν ε ι ι ν ό ω ν λέ τ ε τ ό π ιβ λλο ο μ ρχές τ ε ίας α ο άς,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Οι διατάξεις του κώδικα είναι σύμφωνες με τον Χάρτη Θεμελιωδών Δικαιωμάτων, ο ο ε άθ ά α μ ρο ο κρό ρο η θ πό α ρ αμ ν πο ά ν ι ων ραξ α πό ρ ης ν ι ν ι ι ή αγρα ή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Διευκρινίζεται ότι πολλά άτομα μπορούν να ζητήσουν να καλυφθούν από μία πό α αι π ά υ ο ς, ν ί ο ά, θ ς α ή ης πο ά ν α μ ο ι ε τ σ ατ ο ωνε κ ρχές αμ ν π α η σα προ υ ή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□ Η πρόταση προβλέπει ότι τα κράτη μέλη διασφαλίζουν αποτελεσματικές, αναλογικές αι α τ έ ω κέ κυ ώσ , κα □ Η εισαγωγή εξαιρέσεων από τους ελέγχους ή τις διατυπώσεις σε αυτό το κεφάλαιο αθ στ τ ατ ργη α ΕΟΚ ρ θ. υ 1 ε 1 </w:t>
      </w:r>
      <w:r>
        <w:rPr>
          <w:b/>
          <w:bCs/>
          <w:lang w:val="el" w:eastAsia="el"/>
        </w:rPr>
        <w:t xml:space="preserve">ΕΛ Ν Η Ο Κ Γ ΣΕΙ </w:t>
      </w:r>
      <w:r>
        <w:rPr>
          <w:lang w:val="el" w:eastAsia="el"/>
        </w:rPr>
        <w:t>□ Ο εκσυγχρονισμός και η απλούστευση των κανόνων για την τελωνειακή οφειλή πα τ ν έ λλα έ , ων ακή ή ν ά τ πό ν υ τ ι ρέ σ ε ι ν με ά ρ τ α θ ας φ ο ο υ ι ων ο ρο έ σ ρέ ο ι πο ν λε ζο ο ρο υ ε πό ά μ ατ ο ο ι υ ν τ ν δ σ ν □ Η επιβολή διοικητικών κυρώσεων αποτελεί την πλέον ενδεδειγμένη λύση σε ε ι σε α αβ ν ων κή ς, ό ων κέ ρχές ι πο ή καθ ρ ων κο αθ τ σ ων τ ων κ ν □ Οι διατάξεις σχετικά με «την τελωνειακή οφειλή και τις εγγυήσεις» θεσπίζουν μια ρο η ρο γ ξ ν ε ό ν ι ή ν ρο έ ς, δι α, τ ση γύ τ σ ν ν ε ών τ ν ε ι σε ν ο ες ων κ ε ή ο άψε ίσ τ α ρο σ ς ν ο ών ό ν ν ς α ν ρα ν ώ ρη έ τ σ ν γυ ν ο αρ ι ια ά ο ων κή ε ή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λειτουργία της εσωτερικής αγοράς θα βελτιωθεί μέσω της εναρμόνισης των ων ξ λλων ν ρο ν ο ν ο ων ακή ε ή ε τ α ο ράξ ο ν έ ε ή ν ς λα ο έ ξ , α ν αν ω ι αξ τ ων υ ε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ΞΗ Ν ΟΡ ΩΝ Τ ΕΛ Ν Ο Σ ΗΣ ΟΙΝΟΤΗΤ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Ενσωματώνονται τροποποιήσεις του τελωνειακού κώδικα όσον αφορά την ασφάλεια, ο αν αν ΕΟ ριθ αι ο εί αμ ν ς ό η αθ έρ ση ν ε τ ών σ ή ν αι ε τ ή ν λλα ν ύ ν ων κών ρχ ν α, ύ έ χ γωγών ΣΕΕ , αθ ς αι ου γ α κών υ ών αι α ε ς η τ ή θ 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Η απαλλαγή των ελεύθερων ζωνών από την τελωνειακή επιτήρηση, ένα κενό στον σ ά ας, ατ ργε τ ε ών αθ στ ι ων ακό αθ ς α ό ε ι ων κο έ χ ατ αι φ ά λ ιστ έ κ τ χ ρ , κα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□ Οι κανόνες για την προσκόμιση εμπορευμάτων έχουν επαναδιατυπωθεί ρο ε σ η ο ε σε ι τα ρό πο π ό πα ο έχ ών ου ων α φ ξη ν ο τ ν κα πρ ό για δ εν γε α ε χ ν </w:t>
      </w:r>
      <w:r>
        <w:rPr>
          <w:b/>
          <w:bCs/>
          <w:lang w:val="el" w:eastAsia="el"/>
        </w:rPr>
        <w:t>ΕΝΙΚΟΙ ΟΝΕ Ι ΟΝ ΕΛ Ν Ο Τ Ρ Ο ΕΛ Ν Ο Ε ΤΩ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Οι κυριότερες τροποποιήσεις αφορούν την ηλεκτρονική διασάφηση, που αποτελεί τη φ σ η , ι ρμ ν ρο ο αρ λλα ών ν πλο ν δ ασ ν σ φ , ε α ν τ ων σ πρ α ό ε σα ωγέ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Οι βασικές αρχές για το τεκμήριο και την απώλεια του χαρακτήρα κοινοτικού ο τ φ θ πό τ ε α μ ή ων κ ώδι α Κ δι α. τ ς αν ε ι ως α ρο 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□ Εκτός ορισμένων εξαιρέσεων, π.χ. δελτία TIR ή ATA, στις περιπτώσεις που πα τ ι δ σ φ </w:t>
      </w:r>
      <w:r>
        <w:rPr>
          <w:b/>
          <w:bCs/>
          <w:lang w:val="el" w:eastAsia="el"/>
        </w:rPr>
        <w:t xml:space="preserve">ι ηλ τ ον κ δ α σ ς α α τ τ κ </w:t>
      </w:r>
      <w:r>
        <w:rPr>
          <w:lang w:val="el" w:eastAsia="el"/>
        </w:rPr>
        <w:t xml:space="preserve">□ Όπου αυτό επιτρέπεται, η πρόσβαση στο ηλεκτρονικό σύστημα του διασαφιστή ο ε ατ σ β σ ε τ ο ή σ η . άρ ί τ ο ν α ολο η ών γρά ων ε ο ή φ γ αφ ι ν γκα ο ι πτ ι» σ φ ό τ πρ ό « ο σ ά τ ν τ ων κών α χ ν □ Σύμφωνα με τις αρχές της σύμβασης του Κυότο, ο νέος κώδικας προβλέπει την ατ θ ατ χ ρη α έ σ φ ν ο ε τ ν ρι πό φ ή , α ς α ο ο φ απ τ τ ο σ ο ο ι πρ γ τ ε τ α □ Προβλέπεται, επίσης, η παράδοση των εμπορευμάτων σε τόπο διαφορετικό από υ ο πο φ άτ ξ ό ο μ τ ση ρ ο α α πλο φ α τ ων ρο ό πό γωγέ θ στ τ </w:t>
      </w:r>
      <w:r>
        <w:rPr>
          <w:b/>
          <w:bCs/>
          <w:lang w:val="el" w:eastAsia="el"/>
        </w:rPr>
        <w:t xml:space="preserve">μογή υ ε ικ ύ τ σμ ύ </w:t>
      </w:r>
      <w:r>
        <w:rPr>
          <w:lang w:val="el" w:eastAsia="el"/>
        </w:rPr>
        <w:t xml:space="preserve">τ λ ί υ , ς κε ρι ο έ ς ο ατ θ τ ή η κα φ ε τ ο φ πό ο κατ ν α τ ς ρ τ ο τ χ ι έ χ ι πό , αρ ς, υ ό τ ρή λλά ι ων ο α ο ά σ ο τ ν δ ασ ν τ σ Ε </w:t>
      </w:r>
      <w:r>
        <w:rPr>
          <w:b/>
          <w:bCs/>
          <w:lang w:val="el" w:eastAsia="el"/>
        </w:rPr>
        <w:t xml:space="preserve">Δ Κ Κ Ε ΤΩ </w:t>
      </w:r>
      <w:r>
        <w:rPr>
          <w:lang w:val="el" w:eastAsia="el"/>
        </w:rPr>
        <w:t xml:space="preserve">□ Τα προηγούμενα καθεστώτα αναστολής έχουν εναρμονιστεί και ομαδοποιηθεί με λλο αρ ε ε κε ριμ ω κο ρο σμ ή α δι αθ τ : κό ση εξ τ ή αμ κό τ ι κό ση · πο ε τ ων κή ο μ ευ ε ών ) ή π ο ρ σα ωγή ό ρο ι ) και ε η τε ε οπο ρο αν α ωγή αι ε η ρο αν γωγή . ρμ υ ατ τ χ ν τ ν σ ι οπο ρο αν α ωγή αθ ς π ησ ό ων κ ε χ αι κατ λ ο σ ν ατ ε οπο αν α ωγή ό η πρ ε αν γωγή δ ε ι πλ α γκα , □ Κοινοί κανόνες θα διέπουν όλα τα ειδικά καθεστώτα, όπως αυτά που εφαρμόζονται γυ , ο ν αι η δ ν αθ ς αι η ο ο ι αν ι ο αθ τ τ ο ι ι τ ο στ ν ι ς η ο λό ο ι □ Εισάγονται διευκρινίσεις όσον αφορά την αναστολή της επιβολής ΦΠΑ κατά την γωγή αθ ς α ν ών ό ων ατ ν λωσ , ως ρο έ ρθ ο ρά ρα α ρθ ο ρά ρα ο ς Π α ρθ 5 π ρά ρα ο 2 ο ς 9 1 E Κ </w:t>
      </w:r>
      <w:r>
        <w:rPr>
          <w:b/>
          <w:bCs/>
          <w:lang w:val="el" w:eastAsia="el"/>
        </w:rPr>
        <w:t xml:space="preserve">ΡΗΣ ΩΝ ΟΡ ΩΝ Ο Ο ΕΛ Ν Σ Σ ΟΙΝΟΤΗΤ </w:t>
      </w:r>
      <w:r>
        <w:rPr>
          <w:lang w:val="el" w:eastAsia="el"/>
        </w:rPr>
        <w:t>□ Οι απαιτήσεις όσον αφορά την υποβολή διασαφήσεων πριν από την αναχώρηση ν ο ε τ ν ο αν αν ρι ο ο ε α ω ι η θ ό η αθ ωσ ε τ ών φ ν η τ ο ή α λλα ή ν μ ξ ν τ ν κών α χ υ ί ς ύ έ χ ν α ωγών ΣΕΕ , αι λο ή ου γ α κών πυ ών ί ν η ε τ ών θ ίδων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□ Γίνεται ειδική πρόβλεψη για την επανεξαγωγή μη κοινοτικών εμπορευμάτων που ρο ο έ πό φ ς, ν αι ο τ υ ό αν ως αι ο κά ο τ α ωγή , τ π ιτ ι ν ο ησ ν α ωγή ν ια φ υ τ έ σ φ ι ν γκα ε ι σε ο πα τ σ φ ν στ ο ησ αν γωγή , .χ ι ο σε α ν α ωγέ πό ε ε ών , αθ ς αι πό ο ρ πό σ λιμ ε ιμέ κλπ.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