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ΕΛΛΗΝΙΚΗ ΔΗΜΟΚΡΑΤΙΑ</w:t>
      </w:r>
    </w:p>
    <w:p>
      <w:pPr>
        <w:spacing w:before="240" w:after="240"/>
        <w:rPr>
          <w:lang w:val="el" w:eastAsia="el"/>
        </w:rPr>
      </w:pPr>
      <w:r>
        <w:rPr>
          <w:lang w:val="el" w:eastAsia="el"/>
        </w:rPr>
        <w:t>ΥΠΟΥΡΓΕΙΟ ΟΙΚΟΝΟΜΙΚΩΝ</w:t>
      </w:r>
    </w:p>
    <w:p>
      <w:pPr>
        <w:spacing w:before="240" w:after="240"/>
        <w:rPr>
          <w:lang w:val="el" w:eastAsia="el"/>
        </w:rPr>
      </w:pPr>
      <w:r>
        <w:rPr>
          <w:lang w:val="el" w:eastAsia="el"/>
        </w:rPr>
        <w:t>ΓΕΝΙΚΗ ΓΡΑΜΜΑΤΕΙΑ ΔΗΜΟΣΙΩΝ ΕΣΟΔΩΝ</w:t>
      </w:r>
    </w:p>
    <w:p>
      <w:pPr>
        <w:spacing w:before="240" w:after="240"/>
        <w:rPr>
          <w:lang w:val="el" w:eastAsia="el"/>
        </w:rPr>
      </w:pPr>
      <w:r>
        <w:rPr>
          <w:lang w:val="el" w:eastAsia="el"/>
        </w:rPr>
        <w:t>ΓΕΝΙΚΗ ΔΙΕΥΘΥΝΣΗ ΦΟΡΟΛΟΓΙΑΣ</w:t>
      </w:r>
    </w:p>
    <w:p>
      <w:pPr>
        <w:spacing w:before="240" w:after="240"/>
        <w:rPr>
          <w:lang w:val="el" w:eastAsia="el"/>
        </w:rPr>
      </w:pPr>
      <w:r>
        <w:rPr>
          <w:lang w:val="el" w:eastAsia="el"/>
        </w:rPr>
        <w:t>ΔΙΕΥΘΥΝΣΗ ΒΙΒΛΙΩΝ &amp; ΣΤΟΙΧΕΙΩΝ (15</w:t>
      </w:r>
      <w:r>
        <w:rPr>
          <w:sz w:val="30"/>
          <w:szCs w:val="30"/>
          <w:vertAlign w:val="superscript"/>
          <w:lang w:val="el" w:eastAsia="el"/>
        </w:rPr>
        <w:t>η</w:t>
      </w:r>
      <w:r>
        <w:rPr>
          <w:lang w:val="el" w:eastAsia="el"/>
        </w:rPr>
        <w:t>)</w:t>
      </w:r>
    </w:p>
    <w:p>
      <w:pPr>
        <w:spacing w:before="240" w:after="240"/>
        <w:rPr>
          <w:lang w:val="el" w:eastAsia="el"/>
        </w:rPr>
      </w:pPr>
      <w:r>
        <w:rPr>
          <w:lang w:val="el" w:eastAsia="el"/>
        </w:rPr>
        <w:t>ΤΜΗΜA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Α. Λουγκάνη</w:t>
      </w:r>
    </w:p>
    <w:p>
      <w:pPr>
        <w:spacing w:before="240" w:after="240"/>
        <w:rPr>
          <w:lang w:val="el" w:eastAsia="el"/>
        </w:rPr>
      </w:pPr>
      <w:r>
        <w:rPr>
          <w:lang w:val="el" w:eastAsia="el"/>
        </w:rPr>
        <w:t>Τηλέφωνο : 210 3610065, 210 3610030</w:t>
      </w:r>
    </w:p>
    <w:p>
      <w:pPr>
        <w:spacing w:before="240" w:after="240"/>
        <w:rPr>
          <w:lang w:val="el" w:eastAsia="el"/>
        </w:rPr>
      </w:pPr>
      <w:r>
        <w:rPr>
          <w:lang w:val="el" w:eastAsia="el"/>
        </w:rPr>
        <w:t>FΑΧ : 210 3615052</w:t>
      </w:r>
    </w:p>
    <w:p>
      <w:pPr>
        <w:spacing w:before="240" w:after="240"/>
        <w:rPr>
          <w:lang w:val="el" w:eastAsia="el"/>
        </w:rPr>
      </w:pPr>
      <w:r>
        <w:rPr>
          <w:b/>
          <w:bCs/>
          <w:lang w:val="el" w:eastAsia="el"/>
        </w:rPr>
        <w:t xml:space="preserve">ΘΕΜΑ: </w:t>
      </w:r>
      <w:r>
        <w:rPr>
          <w:lang w:val="el" w:eastAsia="el"/>
        </w:rPr>
        <w:t>«Παροχή διευκρινίσεων ως προς την εφαρμογή των διατάξεων των άρθρων 55 και 66 του ν.4174/2013.»</w:t>
      </w:r>
    </w:p>
    <w:p>
      <w:pPr>
        <w:spacing w:before="240" w:after="240"/>
        <w:rPr>
          <w:lang w:val="el" w:eastAsia="el"/>
        </w:rPr>
      </w:pPr>
      <w:r>
        <w:rPr>
          <w:lang w:val="el" w:eastAsia="el"/>
        </w:rPr>
        <w:t>Με αφορμή γραπτά και προφορικά ερωτήματα σχετικά με την εφαρμογή των διατάξεων των άρθρων 55 και 66 του ν.4174/2013 (ΦΕΚ 170 Α΄/26.7.2013) και σε συνέχεια της εγκυκλίου μας ΠΟΛ.1210/6.9.2013, παρέχονται οι ακόλουθες διευκρινίσεις:</w:t>
      </w:r>
    </w:p>
    <w:p>
      <w:pPr>
        <w:spacing w:before="240" w:after="240"/>
        <w:rPr>
          <w:lang w:val="el" w:eastAsia="el"/>
        </w:rPr>
      </w:pPr>
      <w:r>
        <w:rPr>
          <w:lang w:val="el" w:eastAsia="el"/>
        </w:rPr>
        <w:t>1. Με τις διατάξεις της περίπτωσης γ΄(ββ΄), της παραγράφου 2 του άρθρου 55 του ν.4174/2013, ορίζεται ότι όταν η εικονικότητα ανάγεται αποκλειστικά στο πρόσωπο του εκδότη, στο λήπτη του εικονικού στοιχείου επιβάλλεται πρόστιμο για κάθε παράβαση ίσο με ποσοστό είκοσι πέντε τοις εκατό (25%) της αξίας του στοιχείου. Στην περίπτωση αυτή, εάν ο λήπτης του στοιχείου έχει εξοφλήσει μέσω πιστωτικού ιδρύματος ή αξιογράφων πλήρως την αξία του τιμολογίου και τον αναλογούντα φόρο προστιθέμενης αξίας στον εκδότη του στοιχείου και καταθέσει στη Φορολογική Διοίκηση τα σχετικά παραστατικά με αναφορά στο εικονικό στοιχείο τεκμαίρεται ότι τελούσε σε καλή πίστη και δεν επιβάλλεται πρόστιμο στον λήπτη.</w:t>
      </w:r>
    </w:p>
    <w:p>
      <w:pPr>
        <w:spacing w:before="240" w:after="240"/>
        <w:rPr>
          <w:lang w:val="el" w:eastAsia="el"/>
        </w:rPr>
      </w:pPr>
      <w:r>
        <w:rPr>
          <w:lang w:val="el" w:eastAsia="el"/>
        </w:rPr>
        <w:t>Από την διάταξη αυτή προκύπτει ότι, προϋπόθεση του τεκμηρίου της καλής πίστης του λήπτη εικονικού ως προς το πρόσωπο του εκδότη στοιχείου, αποτελεί η κατάθεση στη φορολογική αρχή των σχετικών με το εικονικό στοιχείο παραστατικών που να αποδεικνύουν ότι η αξία του στοιχείου έχει εξοφληθεί μέσω πιστωτικού ιδρύματος ή αξιογράφων. Επομένως, για τις παραβάσεις που διαπράττονται από την ημερομηνία δημοσίευσης του νόμου αυτού (26.7.2013) και έπειτα, εφόσον ο λήπτης εικονικού ως προς το πρόσωπο του εκδότη στοιχείου προσκομίσει το πρώτον στη φορολογική αρχή που απαιτεί τα παραστατικά εκείνα που αναφέρονται στο εικονικό στοιχείο και αποδεικνύουν την πλήρη εξόφληση της αξίας του μέσω πιστωτικού ιδρύματος ή αξιογράφων, το αργότερο μέχρι το χρόνο αυτό, τεκμαίρεται ότι ο λήπτης τελούσε σε καλή πίστη και δεν επιβάλλεται πρόστιμο σε αυτόν.</w:t>
      </w:r>
    </w:p>
    <w:p>
      <w:pPr>
        <w:spacing w:before="240" w:after="240"/>
        <w:rPr>
          <w:lang w:val="el" w:eastAsia="el"/>
        </w:rPr>
      </w:pPr>
      <w:r>
        <w:rPr>
          <w:lang w:val="el" w:eastAsia="el"/>
        </w:rPr>
        <w:t>Για τις παραβάσεις που έχουν διαπραχθεί πριν την ημερομηνία δημοσίευσης του νόμου αυτού (26.7.2013), δεδομένου ότι προγενέστερα της ημερομηνίας αυτής δεν υπήρχε αντίστοιχη διάταξη και δεν ήταν δυνατόν οι ενδιαφερόμενοι να γνωρίζουν το περιεχόμενο της νέας διάταξης και τη δυνατότητα που παρέχεται περί μη επιβολής προστίμου, εφόσον ο λήπτης εικονικού ως προς το πρόσωπο του εκδότη στοιχείου προσκομίσει στη φορολογική αρχή που θα επιληφθεί πρώτη της υπόθεσης (π.χ. αρμόδια 1</w:t>
      </w:r>
    </w:p>
    <w:p>
      <w:pPr>
        <w:spacing w:before="240" w:after="240"/>
        <w:rPr>
          <w:lang w:val="el" w:eastAsia="el"/>
        </w:rPr>
      </w:pPr>
      <w:r>
        <w:rPr>
          <w:lang w:val="el" w:eastAsia="el"/>
        </w:rPr>
        <w:t>Δ.Ο.Υ., Επιτροπή του άρθρου 70Α κ.λπ.), μετά τη δημοσίευση του νόμου αυτού, τα παραστατικά εκείνα που αναφέρονται στο εικονικό στοιχείο και αποδεικνύουν την πλήρη εξόφληση της αξίας του μέσω πιστωτικού ιδρύματος ή αξιογράφων, τεκμαίρεται ότι ο λήπτης τελούσε σε καλή πίστη και δεν επιβάλλεται πρόστιμο σε αυτόν.</w:t>
      </w:r>
    </w:p>
    <w:p>
      <w:pPr>
        <w:spacing w:before="240" w:after="240"/>
        <w:rPr>
          <w:lang w:val="el" w:eastAsia="el"/>
        </w:rPr>
      </w:pPr>
      <w:r>
        <w:rPr>
          <w:lang w:val="el" w:eastAsia="el"/>
        </w:rPr>
        <w:t>2. Για τις υποθέσεις που έχει υποβληθεί σχετικό αίτημα υπαγωγής στις ευνοϊκότερες διατάξεις, ενώ έχουν ήδη εκδοθεί οι αρχικές Α.Ε.Π., δεν απαιτείται η έκδοση νέας Α.Ε.Π. με το ευνοϊκότερο καθεστώς και μπορεί να συντάσσεται και υπογράφεται πρακτικό αποδοχής της διαφοράς. Για τις υποθέσεις της περίπτωσης α΄ της παραγράφου 4 του άρθρου 66 του ν.4174/2013 για τις οποίες εκδίδονται απευθείας οι Α.Ε.Π. με βάση το νέο καθεστώς, διότι ο υπόχρεος υποβάλλει ανέκκλητη δήλωση επιλογής των ευνοϊκότερων διατάξεων, δεν είναι δυνατή η άσκηση ενδικοφανούς προσφυγής επί των Α.Ε.Π. αυτών, σύμφωνα με τις παραγράφους 5 και 9 του άρθρου 66 του Κώδικα.</w:t>
      </w:r>
    </w:p>
    <w:p>
      <w:pPr>
        <w:spacing w:before="240" w:after="240"/>
        <w:rPr>
          <w:lang w:val="el" w:eastAsia="el"/>
        </w:rPr>
      </w:pPr>
      <w:r>
        <w:rPr>
          <w:b/>
          <w:bCs/>
          <w:lang w:val="el" w:eastAsia="el"/>
        </w:rPr>
        <w:t>Ο Γενικός Γραμματέας Δημοσίων Εσόδων</w:t>
      </w:r>
    </w:p>
    <w:p>
      <w:pPr>
        <w:spacing w:before="240" w:after="240"/>
        <w:rPr>
          <w:lang w:val="el" w:eastAsia="el"/>
        </w:rPr>
      </w:pPr>
      <w:r>
        <w:rPr>
          <w:b/>
          <w:bCs/>
          <w:lang w:val="el" w:eastAsia="el"/>
        </w:rPr>
        <w:t>Ο Προϊστάμενος της Γραμματείας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αριθ. 1 και 3.</w:t>
      </w:r>
    </w:p>
    <w:p>
      <w:pPr>
        <w:spacing w:before="240" w:after="240"/>
        <w:rPr>
          <w:lang w:val="el" w:eastAsia="el"/>
        </w:rPr>
      </w:pPr>
      <w:r>
        <w:rPr>
          <w:lang w:val="el" w:eastAsia="el"/>
        </w:rPr>
        <w:t>2. Αποδέκτες Πίνακα ΣΤ΄, μόνο οι αριθ. 1 και 3.</w:t>
      </w:r>
    </w:p>
    <w:p>
      <w:pPr>
        <w:spacing w:before="240" w:after="240"/>
        <w:rPr>
          <w:lang w:val="el" w:eastAsia="el"/>
        </w:rPr>
      </w:pPr>
      <w:r>
        <w:rPr>
          <w:lang w:val="el" w:eastAsia="el"/>
        </w:rPr>
        <w:t>3. Υπηρεσία TAXISnet για καταχώρηση στο INTERNET.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5"/>
        <w:gridCol w:w="434"/>
        <w:gridCol w:w="434"/>
        <w:gridCol w:w="1360"/>
        <w:gridCol w:w="35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μόνο οι αριθ. 2 και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 εκτός των αριθ. 20,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bl>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w:t>
      </w:r>
      <w:r>
        <w:rPr>
          <w:lang w:val="el" w:eastAsia="el"/>
        </w:rPr>
        <w:t>Αποδέκτες Πίνακα Α΄ εκτός του αριθ. 4.</w:t>
      </w:r>
    </w:p>
    <w:p>
      <w:pPr>
        <w:spacing w:before="240" w:after="240"/>
        <w:rPr>
          <w:lang w:val="el" w:eastAsia="el"/>
        </w:rPr>
      </w:pPr>
      <w:r>
        <w:rPr>
          <w:lang w:val="el" w:eastAsia="el"/>
        </w:rPr>
        <w:t>και κτηματολογικά</w:t>
      </w:r>
    </w:p>
    <w:p>
      <w:pPr>
        <w:spacing w:before="240" w:after="240"/>
        <w:rPr>
          <w:lang w:val="el" w:eastAsia="el"/>
        </w:rPr>
      </w:pPr>
      <w:r>
        <w:rPr>
          <w:lang w:val="el" w:eastAsia="el"/>
        </w:rPr>
        <w:t>, 22, 26, 28, 29, 31, 32, 33, 37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6"/>
        <w:gridCol w:w="434"/>
        <w:gridCol w:w="434"/>
        <w:gridCol w:w="841"/>
        <w:gridCol w:w="7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18. Περιοδικό «ΦΟΡΟΛΟΓΙΚΗ ΕΠΙΘΕΩΡΗΣΗ».</w:t>
      </w:r>
    </w:p>
    <w:p>
      <w:pPr>
        <w:spacing w:before="240" w:after="240"/>
        <w:rPr>
          <w:lang w:val="el" w:eastAsia="el"/>
        </w:rPr>
      </w:pPr>
      <w:r>
        <w:rPr>
          <w:lang w:val="el" w:eastAsia="el"/>
        </w:rPr>
        <w:t>19. Χατζησταματίου Αντώνιος, Βλαχερνών 8, 15124, Μαρούσι</w:t>
      </w:r>
    </w:p>
    <w:p>
      <w:pPr>
        <w:spacing w:before="240" w:after="240"/>
        <w:rPr>
          <w:lang w:val="el" w:eastAsia="el"/>
        </w:rPr>
      </w:pPr>
      <w:r>
        <w:rPr>
          <w:lang w:val="el" w:eastAsia="el"/>
        </w:rPr>
        <w:t>20. ΔΟΥ ΦΑΕ Θεσσαλονίκης, 26</w:t>
      </w:r>
      <w:r>
        <w:rPr>
          <w:sz w:val="30"/>
          <w:szCs w:val="30"/>
          <w:vertAlign w:val="superscript"/>
          <w:lang w:val="el" w:eastAsia="el"/>
        </w:rPr>
        <w:t>ης</w:t>
      </w:r>
      <w:r>
        <w:rPr>
          <w:lang w:val="el" w:eastAsia="el"/>
        </w:rPr>
        <w:t xml:space="preserve"> Οκτωβρίου 35, 54012, Θεσσαλονίκη</w:t>
      </w:r>
    </w:p>
    <w:p>
      <w:pPr>
        <w:spacing w:before="240" w:after="240"/>
        <w:rPr>
          <w:lang w:val="el" w:eastAsia="el"/>
        </w:rPr>
      </w:pPr>
      <w:r>
        <w:rPr>
          <w:lang w:val="el" w:eastAsia="el"/>
        </w:rPr>
        <w:t>21. Μάρκος Σ. Παπαδάτος, Υπηρεσίες Διαδικτύου &amp; Διαφήμισης, Στραβοπόδη 7 29100, Ζάκυνθος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Γεν. Γραμματέα Υπουργείου Οικονομικών</w:t>
      </w:r>
    </w:p>
    <w:p>
      <w:pPr>
        <w:spacing w:before="240" w:after="240"/>
        <w:rPr>
          <w:lang w:val="el" w:eastAsia="el"/>
        </w:rPr>
      </w:pPr>
      <w:r>
        <w:rPr>
          <w:lang w:val="el" w:eastAsia="el"/>
        </w:rPr>
        <w:t>4. Γραφείο Γεν. Γραμματέα Δημοσίων Εσόδων</w:t>
      </w:r>
    </w:p>
    <w:p>
      <w:pPr>
        <w:spacing w:before="240" w:after="240"/>
        <w:rPr>
          <w:lang w:val="el" w:eastAsia="el"/>
        </w:rPr>
      </w:pPr>
      <w:r>
        <w:rPr>
          <w:lang w:val="el" w:eastAsia="el"/>
        </w:rPr>
        <w:t>5. Γραφείο Γενικού Γραμματέα Γ.Γ.Π.Σ.</w:t>
      </w:r>
    </w:p>
    <w:p>
      <w:pPr>
        <w:spacing w:before="240" w:after="240"/>
        <w:rPr>
          <w:lang w:val="el" w:eastAsia="el"/>
        </w:rPr>
      </w:pPr>
      <w:r>
        <w:rPr>
          <w:lang w:val="el" w:eastAsia="el"/>
        </w:rPr>
        <w:t>6. Γραφείο Αν. Γενικού Δ/ντή Φορολογίας.</w:t>
      </w:r>
    </w:p>
    <w:p>
      <w:pPr>
        <w:spacing w:before="240" w:after="240"/>
        <w:rPr>
          <w:lang w:val="el" w:eastAsia="el"/>
        </w:rPr>
      </w:pPr>
      <w:r>
        <w:rPr>
          <w:lang w:val="el" w:eastAsia="el"/>
        </w:rPr>
        <w:t>7. Γραφεία κ. κ. Γενικών Διευθυντών.</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Γραφείο Επικοινωνίας και Πληροφόρησης Πολιτών.</w:t>
      </w:r>
    </w:p>
    <w:p>
      <w:pPr>
        <w:spacing w:before="240" w:after="240"/>
        <w:rPr>
          <w:lang w:val="el" w:eastAsia="el"/>
        </w:rPr>
      </w:pPr>
      <w:r>
        <w:rPr>
          <w:lang w:val="el" w:eastAsia="el"/>
        </w:rPr>
        <w:t>10. 15</w:t>
      </w:r>
      <w:r>
        <w:rPr>
          <w:sz w:val="30"/>
          <w:szCs w:val="30"/>
          <w:vertAlign w:val="superscript"/>
          <w:lang w:val="el" w:eastAsia="el"/>
        </w:rPr>
        <w:t>η</w:t>
      </w:r>
      <w:r>
        <w:rPr>
          <w:lang w:val="el" w:eastAsia="el"/>
        </w:rPr>
        <w:t xml:space="preserve"> Δ/νση Βιβλίων και Στοιχείων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