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u w:val="single"/>
          <w:lang w:val="el" w:eastAsia="el"/>
        </w:rPr>
        <w:t>ΕΠΕΙΓΟΝ-Αποστολή με Fax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Αθήνα, 17 Δεκεμβρίου 2013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Αριθ. Πρωτ: </w:t>
      </w:r>
      <w:r>
        <w:rPr>
          <w:b/>
          <w:bCs/>
          <w:lang w:val="el" w:eastAsia="el"/>
        </w:rPr>
        <w:t>Δ17Γ 5043024 ΕΞ 2013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ΥΠΟΥΡΓΕΙΟ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ΓΕΝ. ΓΡΑΜ. ΔΗΜΟΣΙΩΝ ΕΣΟΔΩΝ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ΓΕΝΙΚΗ Δ/ΝΣΗ ΤΕΛΩΝΕΙΩΝ &amp; ΕΦΚ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17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ΔΑΣΜΟΛΟΓΙΚΗ, ΤΜΗΜΑ Γ’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Ταχ. Δ/νση : Καρ. Σερβίας 10 </w:t>
      </w:r>
      <w:r>
        <w:rPr>
          <w:b/>
          <w:bCs/>
          <w:lang w:val="el" w:eastAsia="el"/>
        </w:rPr>
        <w:t xml:space="preserve">ΠΡΟΣ : </w:t>
      </w:r>
      <w:r>
        <w:rPr>
          <w:sz w:val="30"/>
          <w:szCs w:val="30"/>
          <w:vertAlign w:val="superscript"/>
          <w:lang w:val="el" w:eastAsia="el"/>
        </w:rPr>
        <w:t>Τ</w:t>
      </w:r>
      <w:r>
        <w:rPr>
          <w:lang w:val="el" w:eastAsia="el"/>
        </w:rPr>
        <w:t>ε</w:t>
      </w:r>
      <w:r>
        <w:rPr>
          <w:sz w:val="30"/>
          <w:szCs w:val="30"/>
          <w:vertAlign w:val="superscript"/>
          <w:lang w:val="el" w:eastAsia="el"/>
        </w:rPr>
        <w:t>λ</w:t>
      </w:r>
      <w:r>
        <w:rPr>
          <w:lang w:val="el" w:eastAsia="el"/>
        </w:rPr>
        <w:t>ω</w:t>
      </w:r>
      <w:r>
        <w:rPr>
          <w:sz w:val="30"/>
          <w:szCs w:val="30"/>
          <w:vertAlign w:val="superscript"/>
          <w:lang w:val="el" w:eastAsia="el"/>
        </w:rPr>
        <w:t>ν</w:t>
      </w:r>
      <w:r>
        <w:rPr>
          <w:lang w:val="el" w:eastAsia="el"/>
        </w:rPr>
        <w:t>ε</w:t>
      </w:r>
      <w:r>
        <w:rPr>
          <w:sz w:val="30"/>
          <w:szCs w:val="30"/>
          <w:vertAlign w:val="superscript"/>
          <w:lang w:val="el" w:eastAsia="el"/>
        </w:rPr>
        <w:t>ία Α</w:t>
      </w:r>
      <w:r>
        <w:rPr>
          <w:lang w:val="el" w:eastAsia="el"/>
        </w:rPr>
        <w:t>· κ</w:t>
      </w:r>
      <w:r>
        <w:rPr>
          <w:sz w:val="30"/>
          <w:szCs w:val="30"/>
          <w:vertAlign w:val="superscript"/>
          <w:lang w:val="el" w:eastAsia="el"/>
        </w:rPr>
        <w:t>α| Β</w:t>
      </w:r>
      <w:r>
        <w:rPr>
          <w:lang w:val="el" w:eastAsia="el"/>
        </w:rPr>
        <w:t xml:space="preserve">' </w:t>
      </w:r>
      <w:r>
        <w:rPr>
          <w:sz w:val="30"/>
          <w:szCs w:val="30"/>
          <w:vertAlign w:val="superscript"/>
          <w:lang w:val="el" w:eastAsia="el"/>
        </w:rPr>
        <w:t>Τ</w:t>
      </w:r>
      <w:r>
        <w:rPr>
          <w:lang w:val="el" w:eastAsia="el"/>
        </w:rPr>
        <w:t>ά</w:t>
      </w:r>
      <w:r>
        <w:rPr>
          <w:sz w:val="30"/>
          <w:szCs w:val="30"/>
          <w:vertAlign w:val="superscript"/>
          <w:lang w:val="el" w:eastAsia="el"/>
        </w:rPr>
        <w:t>ξ</w:t>
      </w:r>
      <w:r>
        <w:rPr>
          <w:lang w:val="el" w:eastAsia="el"/>
        </w:rPr>
        <w:t>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 : 101 84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Πληροφορίες : Μ. Κουνάβη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210.6987541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 A X : 210.6987489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ΘΕΜΑ.: «Παρέχονται πληροφορίες σχετικά με την εφαρμογή του νέου Συστήματος Γενικευμένων Προτιμήσεων (ΣΓΠ) – Επιπτώσεις στις εισαγωγές των εμπορευμάτων από χώρες που δεν θα είναι πλέον δικαιούχες στο ΣΓΠ»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Σχετ.: 1) Η αριθ. πρωτ. Δ17Γ 5002426 ΕΞ2013/18-01-2013 ΔΥΟ Κοιν Καν. (ΕΕ) αριθ. 978/2012 για την εφαρμογή του Συστήματος Γενικευμένων Προτιμήσεων και την κατάργηση του Καν. (ΕΚ) αριθ. 732/2008.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2) Οι αριθ πρωτ. Δ17Γ 5009948 ΕΞ2013/15-03-2013 &amp; Δ17Γ 5010657 ΕΞ2013/ 22-032013 κοινοποιήσεις καν. (ΕΕ) 154/2013 &amp; 1213/2012 αντίστοιχα.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  <w:r>
        <w:rPr>
          <w:lang w:val="el" w:eastAsia="el"/>
        </w:rPr>
        <w:t>. Σε συνέχεια των παραπάνω σχετικών σχετικά με την εφαρμογή του νέου Συστήματος Γενικευμένων Προτιμήσεων και αναφορικά με αρκετά ερωτήματα που δέχεται η υπηρεσία μας ειδικότερα για τα μεταβατικά μέτρα σας γνωρίζουμε τα εξής: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⮚ Σύμφωνα με το άρθρο 43(2) του Καν. 978/2012 το ΣΓΠ «Εφαρμόζεται από 20 Νοεμβρίου 2012» και ισχύει από 01-01-2014.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⮚ Σύμφωνα με το άρθρο 67 του Τελωνειακού Κώδικα (2913/92), «εκτός αντιθέτων ειδικών ρυθμίσεων, </w:t>
      </w:r>
      <w:r>
        <w:rPr>
          <w:u w:val="single"/>
          <w:lang w:val="el" w:eastAsia="el"/>
        </w:rPr>
        <w:t>η ημερομηνία που πρέπει να ληφθεί υπόψη</w:t>
      </w:r>
      <w:r>
        <w:rPr>
          <w:lang w:val="el" w:eastAsia="el"/>
        </w:rPr>
        <w:t xml:space="preserve"> για την εφαρμογή όλων των διατάξεων που διέπουν το τελωνειακό καθεστώς για το οποίο γίνεται η διασάφηση των εμπορευμάτων, </w:t>
      </w:r>
      <w:r>
        <w:rPr>
          <w:u w:val="single"/>
          <w:lang w:val="el" w:eastAsia="el"/>
        </w:rPr>
        <w:t>είναι η ημερομηνία αποδοχής της διασάφησης από τις τελωνειακές αρχές</w:t>
      </w:r>
      <w:r>
        <w:rPr>
          <w:lang w:val="el" w:eastAsia="el"/>
        </w:rPr>
        <w:t>.»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lang w:val="el" w:eastAsia="el"/>
        </w:rPr>
        <w:t xml:space="preserve">Αναφορικά με την προτιμησιακή μεταχείριση εμπορευμάτων που εισάγονται στην Ευρωπαϊκή Ένωση από τρίτες χώρες, δικαιούχες του ΣΓΠ έως και 31-12-2013 οι οποίες όμως δεν θα είναι από 01-01-2014, θα πρέπει να διευκρινιστούν τα παρακάτω: </w:t>
      </w:r>
      <w:r>
        <w:rPr>
          <w:b/>
          <w:bCs/>
          <w:lang w:val="el" w:eastAsia="el"/>
        </w:rPr>
        <w:t xml:space="preserve">α) </w:t>
      </w:r>
      <w:r>
        <w:rPr>
          <w:lang w:val="el" w:eastAsia="el"/>
        </w:rPr>
        <w:t xml:space="preserve">Εάν τα εμπορεύματα έρθουν στην Ένωση, υπό την προϋπόθεση ότι η διασάφηση για θέση σε ελεύθερη κυκλοφορία έγινε αποδεκτή από τις τελωνειακές αρχές πριν από τις 31 Δεκεμβρίου 2013 χωρίς να έχει προσκομιστεί πιστοποιητικό </w:t>
      </w:r>
      <w:r>
        <w:rPr>
          <w:b/>
          <w:bCs/>
          <w:lang w:val="el" w:eastAsia="el"/>
        </w:rPr>
        <w:t>FORM A</w:t>
      </w:r>
      <w:r>
        <w:rPr>
          <w:lang w:val="el" w:eastAsia="el"/>
        </w:rPr>
        <w:t>, με την λήψη των διασφαλιστικών μέτρων που προβλέπονται στα άρθρα 256-257 του Καν. (ΕΟΚ) 2454/93, πριν από την 01-01-2014, τότε η προτιμησιακή μεταχείριση μπορεί να χορηγηθεί, έστω και αν το πιστοποιητικό εκδοθεί εκ των υστέρων μέσα στο 2013 ή στο 2014.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b/>
          <w:bCs/>
          <w:lang w:val="el" w:eastAsia="el"/>
        </w:rPr>
        <w:t xml:space="preserve">Εάν τα εμπορεύματα έρθουν στην Ένωση υπό την προϋπόθεση ότι η διασάφηση για θέση σε ελεύθερη κυκλοφορία έγινε αποδεκτή από τις τελωνειακές αρχές πριν από τις 31 Δεκεμβρίου 2013 αλλά δεν ζητήθηκε προτιμησιακή μεταχείριση από τον εισαγωγέα πριν από την 01-01-2014, τότε </w:t>
      </w:r>
      <w:r>
        <w:rPr>
          <w:b/>
          <w:bCs/>
          <w:lang w:val="el" w:eastAsia="el"/>
        </w:rPr>
        <w:t>δεν μπορεί να χορηγηθεί εκ των υστέρων προτιμησιακή μεταχείριση ακόμα και αν προσκομιστεί πιστοποιητικό καταγωγής FORM A που έχει εκδοθεί (εκ των υστέρων) πριν από την 01-01-2014.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Γ. </w:t>
      </w:r>
      <w:r>
        <w:rPr>
          <w:b/>
          <w:bCs/>
          <w:lang w:val="el" w:eastAsia="el"/>
        </w:rPr>
        <w:t>Επίσης η εκ των υστέρων έκδοση των πιστοποιητικών FORM A, για εξαγωγές που έγιναν το 2013, από χώρες που δεν θα είναι πλέον δικαιούχες του ΣΓΠ από 01-01-2014, δεν μπορεί να θεωρηθεί χωρίς νομική βάση γιατί οι εξαιρούμενες από το καθεστώς χώρες θα συνεχίσουν να έχουν διοικητική συνεργασία με τα κράτη μέλη.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ΠΡΟΪΣΤΑΜΕΝΗ ΤΗΣ ΔΙΕΥΘΥΝΣΗΣ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ΠΑΡΑΣΚΕΥΗ ΑΔΙΚΗΜΕΝΑΚΗ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ΑΚΡΙΒΕΣ ΑΝΤΙΓΡΑΦΟ Ο ΤΜΗΜΑΤΑΡΧΗΣ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ΕΣΩΤΕΡΙΚΗ ΔΙΑΝΟΜΗ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17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– Τμήμα Γ’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b/>
          <w:bCs/>
          <w:lang w:val="el" w:eastAsia="el"/>
        </w:rPr>
        <w:t>-</w:t>
      </w:r>
      <w:r>
        <w:rPr>
          <w:b/>
          <w:bCs/>
          <w:lang w:val="en" w:eastAsia="en"/>
        </w:rPr>
        <w:tab/>
      </w:r>
      <w:r>
        <w:rPr>
          <w:b/>
          <w:bCs/>
          <w:lang w:val="el" w:eastAsia="el"/>
        </w:rPr>
        <w:t>Γραφ. Δ/ντριας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18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– Τμήμα Γ’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Δ/νση 19</w:t>
      </w:r>
      <w:r>
        <w:rPr>
          <w:b/>
          <w:bCs/>
          <w:sz w:val="30"/>
          <w:szCs w:val="30"/>
          <w:vertAlign w:val="superscript"/>
          <w:lang w:val="el" w:eastAsia="el"/>
        </w:rPr>
        <w:t>η</w:t>
      </w:r>
      <w:r>
        <w:rPr>
          <w:b/>
          <w:bCs/>
          <w:lang w:val="el" w:eastAsia="el"/>
        </w:rPr>
        <w:t xml:space="preserve"> – Τμήμα Δ’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