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22 Ιανουαρίου 2014</w:t>
      </w:r>
    </w:p>
    <w:p>
      <w:pPr>
        <w:spacing w:before="240" w:after="240"/>
        <w:rPr>
          <w:lang w:val="el" w:eastAsia="el"/>
        </w:rPr>
      </w:pPr>
      <w:r>
        <w:rPr>
          <w:lang w:val="el" w:eastAsia="el"/>
        </w:rPr>
        <w:t>Αριθ.Πρωτ:ΠΟΛ. 1029</w:t>
      </w:r>
    </w:p>
    <w:p>
      <w:pPr>
        <w:spacing w:before="240" w:after="240"/>
        <w:rPr>
          <w:lang w:val="el" w:eastAsia="el"/>
        </w:rPr>
      </w:pPr>
      <w:r>
        <w:rPr>
          <w:b/>
          <w:bCs/>
          <w:lang w:val="el" w:eastAsia="el"/>
        </w:rPr>
        <w:t xml:space="preserve">ΠΡΟΣ: </w:t>
      </w:r>
      <w:r>
        <w:rPr>
          <w:lang w:val="el" w:eastAsia="el"/>
        </w:rPr>
        <w:t>ΑΠΟΔΕΚΤΕΣ ΠΙΝΑΚΑ ΔΙΑΝΟΜΗΣ</w:t>
      </w:r>
    </w:p>
    <w:p>
      <w:pPr>
        <w:spacing w:before="240" w:after="240"/>
        <w:rPr>
          <w:lang w:val="el" w:eastAsia="el"/>
        </w:rPr>
      </w:pPr>
      <w:r>
        <w:rPr>
          <w:b/>
          <w:bCs/>
          <w:lang w:val="el" w:eastAsia="el"/>
        </w:rPr>
        <w:t xml:space="preserve">ΘΕΜΑ: </w:t>
      </w:r>
      <w:r>
        <w:rPr>
          <w:lang w:val="el" w:eastAsia="el"/>
        </w:rPr>
        <w:t>« Χρόνος απόδοσης οφειλομένων τελών χαρτοσήμου σε ειδικές περιπτώσεις καθώς και της ειδικής εισφοράς δακοκτονίας».</w:t>
      </w:r>
    </w:p>
    <w:p>
      <w:pPr>
        <w:spacing w:before="240" w:after="240"/>
        <w:rPr>
          <w:lang w:val="el" w:eastAsia="el"/>
        </w:rPr>
      </w:pPr>
      <w:r>
        <w:rPr>
          <w:lang w:val="el" w:eastAsia="el"/>
        </w:rPr>
        <w:t>Με αφορμή πλήθος ερωτημάτων, τα οποία υποβάλλονται στην υπηρεσία μας, αναφορικά με το θέμα, διευκρινίζουμε τα εξής:</w:t>
      </w:r>
    </w:p>
    <w:p>
      <w:pPr>
        <w:spacing w:before="240" w:after="240"/>
        <w:rPr>
          <w:lang w:val="el" w:eastAsia="el"/>
        </w:rPr>
      </w:pPr>
      <w:r>
        <w:rPr>
          <w:lang w:val="el" w:eastAsia="el"/>
        </w:rPr>
        <w:t>1. Με τις διατάξεις του άρθρου 30 του π.δ. 99/1977 «περί τροποποιήσεως, συμπληρώσεως και κωδικοποιήσεως εις ενιαίον κείμενον των διατάξεων περί τηρήσεως βιβλίων και στοιχείων» (34Α΄), οριζόταν ότι οι εκδίδοντες τιμολόγια, αποδείξεις κ.α. στοιχεία του Κώδικα αυτού, υποβάλλουν στην αρμόδια Δ.Ο.Υ. δήλωση απόδοσης των αναλογούντων τελών χαρτοσήμου, επί της αξίας των κατά το προηγούμενο ημερολογιακό τρίμηνο εκδοθέντων στοιχείων, καθώς και της εισφοράς δακοκτονίας, μέχρι και της εικοστής των μηνών Φεβρουαρίου, Μαΐου, Αυγούστου και Νοεμβρίου εκάστου έτους.</w:t>
      </w:r>
    </w:p>
    <w:p>
      <w:pPr>
        <w:spacing w:before="240" w:after="240"/>
        <w:rPr>
          <w:lang w:val="el" w:eastAsia="el"/>
        </w:rPr>
      </w:pPr>
      <w:r>
        <w:rPr>
          <w:lang w:val="el" w:eastAsia="el"/>
        </w:rPr>
        <w:t>Εξαιρετικά, προκειμένου περί ασφαλιστικών επιχειρήσεων, η δήλωση απόδοσης των τελών χαρτοσήμου υποβάλλεται μέχρι και της εικοστής των μηνών Μαρτίου, Μαΐου, Αυγούστου και Νοεμβρίου εκάστου έτους, σύμφωνα με τις ίδιες ως άνω διατάξεις.</w:t>
      </w:r>
    </w:p>
    <w:p>
      <w:pPr>
        <w:spacing w:before="240" w:after="240"/>
        <w:rPr>
          <w:lang w:val="el" w:eastAsia="el"/>
        </w:rPr>
      </w:pPr>
      <w:r>
        <w:rPr>
          <w:lang w:val="el" w:eastAsia="el"/>
        </w:rPr>
        <w:t>Επίσης, και στις ειδικές περιπτώσεις που ορίστηκαν με την Σ.882/120/2.3.1982 (109Β΄) Απόφαση του Υπουργού Οικονομικών έγινε δεκτό ότι, τα τέλη χαρτοσήμου που οφείλονται, καταβάλλονται από τους υπόχρεους κατά τα οριζόμενα στις διατάξεις του άρθρου 30 του π.δ. 99/1977.</w:t>
      </w:r>
    </w:p>
    <w:p>
      <w:pPr>
        <w:spacing w:before="240" w:after="240"/>
        <w:rPr>
          <w:lang w:val="el" w:eastAsia="el"/>
        </w:rPr>
      </w:pPr>
      <w:r>
        <w:rPr>
          <w:lang w:val="el" w:eastAsia="el"/>
        </w:rPr>
        <w:t>Περαιτέρω, σύμφωνα με τις διατάξεις της παρ. 10 του άρθρου 39 του π.δ. 186/1992 «Κώδικας Βιβλίων και Στοιχείων» (84Α΄), ορίστηκε ότι, οι διατάξεις του άρθρου 30 του π.δ. 99/1977, σε ό,τι αφορά τις ρυθμίσεις που αναφέρονται στο χρόνο, τον τρόπο και τη διαδικασία υποβολής των δηλώσεων τελών χαρτοσήμου και</w:t>
      </w:r>
    </w:p>
    <w:p>
      <w:pPr>
        <w:spacing w:before="240" w:after="240"/>
        <w:rPr>
          <w:lang w:val="el" w:eastAsia="el"/>
        </w:rPr>
      </w:pPr>
      <w:r>
        <w:rPr>
          <w:lang w:val="el" w:eastAsia="el"/>
        </w:rPr>
        <w:t>εισφορών, εφαρμόζονται και μετά την έκδοση και την έναρξη ισχύος του Διατάγματος και μέχρι του χρόνου που με άλλες διατάξεις θα ρυθμιστούν τα θέματα αυτά.</w:t>
      </w:r>
    </w:p>
    <w:p>
      <w:pPr>
        <w:spacing w:before="240" w:after="240"/>
        <w:rPr>
          <w:lang w:val="el" w:eastAsia="el"/>
        </w:rPr>
      </w:pPr>
      <w:r>
        <w:rPr>
          <w:lang w:val="el" w:eastAsia="el"/>
        </w:rPr>
        <w:t>2. Με τις διατάξεις της παρ.1 της Υποπαραγράφου Ε 1 του άρθρου πρώτου του ν.4093/2012 (ΦΕΚ Α΄ 222/12.11.2012) καταργήθηκε ο Κώδικας Βιβλίων και Στοιχείων (π.δ. 186/1992, όπως είχε τροποποιηθεί και ίσχυε ) και αντικαταστάθηκε με τον Κώδικα Φορολογικής Απεικόνισης Συναλλαγών, οι διατάξεις του οποίου ισχύουν, από 1.1.2013, σύμφωνα με τις διατάξεις του άρθρου 13 αυτού.</w:t>
      </w:r>
    </w:p>
    <w:p>
      <w:pPr>
        <w:spacing w:before="240" w:after="240"/>
        <w:rPr>
          <w:lang w:val="el" w:eastAsia="el"/>
        </w:rPr>
      </w:pPr>
      <w:r>
        <w:rPr>
          <w:lang w:val="el" w:eastAsia="el"/>
        </w:rPr>
        <w:t>3. Στις διατάξεις του Κώδικα Φορολογικής Απεικόνισης Συναλλαγών δεν υφίσταται αναφορά περί διατηρήσεως των ρυθμίσεων, σχετικά με το χρόνο, τον τρόπο και τη διαδικασία υποβολής των δηλώσεων τελών χαρτοσήμου καθώς και της ειδικής εισφοράς δακοκτονίας, όπως προέβλεπαν οι διατάξεις του Κώδικα Βιβλίων και Στοιχείων, αλλά ούτε ρυθμίζονται διαφορετικά στις διατάξεις του τα θέματα αυτά.</w:t>
      </w:r>
    </w:p>
    <w:p>
      <w:pPr>
        <w:spacing w:before="240" w:after="240"/>
        <w:rPr>
          <w:lang w:val="el" w:eastAsia="el"/>
        </w:rPr>
      </w:pPr>
      <w:r>
        <w:rPr>
          <w:lang w:val="el" w:eastAsia="el"/>
        </w:rPr>
        <w:t>4. Ενόψει των ανωτέρω, έως ότου καλυφθεί νομοθετικά το θέμα, οι δηλώσεις απόδοσης των αναλογούντων τελών χαρτοσήμου στις προαναφερόμενες περιπτώσεις, συνεχίζουν να υποβάλονται, σύμφωνα με τις προϊσχύουσες διατάξεις, ήτοι, μέχρι την 20η των μηνών Φεβρουαρίου, Μαΐου, Αυγούστου και Νοεμβρίου κάθε έτους και αφορά στο σύνολο της αξίας των εκδοθέντων τιμολογίων, αποδείξεων, κ.λ.π., κατά το προηγούμενο ημερολογιακό τρίμηνο.</w:t>
      </w:r>
    </w:p>
    <w:p>
      <w:pPr>
        <w:spacing w:before="240" w:after="240"/>
        <w:rPr>
          <w:lang w:val="el" w:eastAsia="el"/>
        </w:rPr>
      </w:pPr>
      <w:r>
        <w:rPr>
          <w:b/>
          <w:bCs/>
          <w:lang w:val="el" w:eastAsia="el"/>
        </w:rPr>
        <w:t>Ο ΓΕΝΙΚΟΣ ΓΡΑΜΜΑΤΕΑΣΔΗΜΟΣΙΩΝ ΕΣΟΔΩΝΘΕΟΧΑΡΗΣ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spacing w:before="240" w:after="240"/>
        <w:rPr>
          <w:lang w:val="el" w:eastAsia="el"/>
        </w:rPr>
      </w:pPr>
      <w:r>
        <w:rPr>
          <w:lang w:val="el" w:eastAsia="el"/>
        </w:rPr>
        <w:t>1. Αποδέκτες Πίνακα Β΄ (εκτός του αρ. 2 αυτού).</w:t>
      </w:r>
    </w:p>
    <w:p>
      <w:pPr>
        <w:spacing w:before="240" w:after="240"/>
        <w:rPr>
          <w:lang w:val="el" w:eastAsia="el"/>
        </w:rPr>
      </w:pPr>
      <w:r>
        <w:rPr>
          <w:lang w:val="el" w:eastAsia="el"/>
        </w:rPr>
        <w:t>2. Οικονομικές Επιθεωρήσεις.</w:t>
      </w:r>
    </w:p>
    <w:p>
      <w:pPr>
        <w:spacing w:before="240" w:after="240"/>
        <w:rPr>
          <w:lang w:val="el" w:eastAsia="el"/>
        </w:rPr>
      </w:pPr>
      <w:r>
        <w:rPr>
          <w:lang w:val="el" w:eastAsia="el"/>
        </w:rPr>
        <w:t>3. Κεντρική Υπηρεσία Σ.Δ.Ο.Ε.</w:t>
      </w:r>
    </w:p>
    <w:p>
      <w:pPr>
        <w:spacing w:before="240" w:after="240"/>
        <w:rPr>
          <w:lang w:val="el" w:eastAsia="el"/>
        </w:rPr>
      </w:pPr>
      <w:r>
        <w:rPr>
          <w:lang w:val="el" w:eastAsia="el"/>
        </w:rPr>
        <w:t>4. Περιφερειακές Διευθύνσεις Σ.Δ.Ο.Ε.</w:t>
      </w:r>
    </w:p>
    <w:p>
      <w:pPr>
        <w:spacing w:before="240" w:after="240"/>
        <w:rPr>
          <w:lang w:val="el" w:eastAsia="el"/>
        </w:rPr>
      </w:pPr>
      <w:r>
        <w:rPr>
          <w:lang w:val="el" w:eastAsia="el"/>
        </w:rPr>
        <w:t>5. Περιοδικό «Φορολογική Επιθεώρηση».</w:t>
      </w:r>
    </w:p>
    <w:p>
      <w:pPr>
        <w:spacing w:before="240" w:after="240"/>
        <w:rPr>
          <w:lang w:val="el" w:eastAsia="el"/>
        </w:rPr>
      </w:pPr>
      <w:r>
        <w:rPr>
          <w:lang w:val="el" w:eastAsia="el"/>
        </w:rPr>
        <w:t xml:space="preserve">Il. </w:t>
      </w:r>
      <w:r>
        <w:rPr>
          <w:b/>
          <w:bCs/>
          <w:lang w:val="el" w:eastAsia="el"/>
        </w:rPr>
        <w:t>ΑΠΟΔΕΚΤΕΣ ΓΙΑ ΚΟΙΝΟΠΟΙΗΣΗ</w:t>
      </w:r>
    </w:p>
    <w:p>
      <w:pPr>
        <w:spacing w:before="240" w:after="240"/>
        <w:rPr>
          <w:lang w:val="el" w:eastAsia="el"/>
        </w:rPr>
      </w:pPr>
      <w:r>
        <w:rPr>
          <w:lang w:val="el" w:eastAsia="el"/>
        </w:rPr>
        <w:t>1. Αποδέκτες Πίνακα Ζ΄ (μόνο τα 1 και 2 αυτού).</w:t>
      </w:r>
    </w:p>
    <w:p>
      <w:pPr>
        <w:spacing w:before="240" w:after="240"/>
        <w:rPr>
          <w:lang w:val="el" w:eastAsia="el"/>
        </w:rPr>
      </w:pPr>
      <w:r>
        <w:rPr>
          <w:lang w:val="el" w:eastAsia="el"/>
        </w:rPr>
        <w:t>2. Αποδέκτες Πίνακα Η΄ (εκτός των αρ. 10 &amp; 11 αυτού).</w:t>
      </w:r>
    </w:p>
    <w:p>
      <w:pPr>
        <w:spacing w:before="240" w:after="240"/>
        <w:rPr>
          <w:lang w:val="el" w:eastAsia="el"/>
        </w:rPr>
      </w:pPr>
      <w:r>
        <w:rPr>
          <w:lang w:val="el" w:eastAsia="el"/>
        </w:rPr>
        <w:t>3. Αποδέκτες Πίνακα ΙΒ΄ (μόνο τα 3,4 &amp; 7 αυτού).</w:t>
      </w:r>
    </w:p>
    <w:p>
      <w:pPr>
        <w:spacing w:before="240" w:after="240"/>
        <w:rPr>
          <w:lang w:val="el" w:eastAsia="el"/>
        </w:rPr>
      </w:pPr>
      <w:r>
        <w:rPr>
          <w:lang w:val="el" w:eastAsia="el"/>
        </w:rPr>
        <w:t xml:space="preserve">III. </w:t>
      </w:r>
      <w:r>
        <w:rPr>
          <w:b/>
          <w:bCs/>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 Οικονομικών.</w:t>
      </w:r>
    </w:p>
    <w:p>
      <w:pPr>
        <w:spacing w:before="240" w:after="240"/>
        <w:rPr>
          <w:lang w:val="el" w:eastAsia="el"/>
        </w:rPr>
      </w:pPr>
      <w:r>
        <w:rPr>
          <w:lang w:val="el" w:eastAsia="el"/>
        </w:rPr>
        <w:t>3. Γραφείο Υφυπουργού.</w:t>
      </w:r>
    </w:p>
    <w:p>
      <w:pPr>
        <w:spacing w:before="240" w:after="240"/>
        <w:rPr>
          <w:lang w:val="el" w:eastAsia="el"/>
        </w:rPr>
      </w:pPr>
      <w:r>
        <w:rPr>
          <w:lang w:val="el" w:eastAsia="el"/>
        </w:rPr>
        <w:t>3. Γραφείο Γενικού Γραμματέα Δημοσίων Εσόδων.</w:t>
      </w:r>
    </w:p>
    <w:p>
      <w:pPr>
        <w:spacing w:before="240" w:after="240"/>
        <w:rPr>
          <w:lang w:val="el" w:eastAsia="el"/>
        </w:rPr>
      </w:pPr>
      <w:r>
        <w:rPr>
          <w:lang w:val="el" w:eastAsia="el"/>
        </w:rPr>
        <w:t>4. Γραφείο Ειδικού Γραμματέα Σ.Δ.Ο Ε.</w:t>
      </w:r>
    </w:p>
    <w:p>
      <w:pPr>
        <w:spacing w:before="240" w:after="240"/>
        <w:rPr>
          <w:lang w:val="el" w:eastAsia="el"/>
        </w:rPr>
      </w:pPr>
      <w:r>
        <w:rPr>
          <w:lang w:val="el" w:eastAsia="el"/>
        </w:rPr>
        <w:t>5. Γραφείο Προϊσταμένου Γεν. Δ/νσης Φορολογίας.</w:t>
      </w:r>
    </w:p>
    <w:p>
      <w:pPr>
        <w:spacing w:before="240" w:after="240"/>
        <w:rPr>
          <w:lang w:val="el" w:eastAsia="el"/>
        </w:rPr>
      </w:pPr>
      <w:r>
        <w:rPr>
          <w:lang w:val="el" w:eastAsia="el"/>
        </w:rPr>
        <w:t>6. Γραφείο Προϊσταμένου Γεν. Δ/νσης Φορολογικών Ελέγχων &amp; Είσπραξης Δημοσίων Εσόδων.</w:t>
      </w:r>
    </w:p>
    <w:p>
      <w:pPr>
        <w:spacing w:before="240" w:after="240"/>
        <w:rPr>
          <w:lang w:val="el" w:eastAsia="el"/>
        </w:rPr>
      </w:pPr>
      <w:r>
        <w:rPr>
          <w:lang w:val="el" w:eastAsia="el"/>
        </w:rPr>
        <w:t>7. Όλες τις Φορολογικές Διευθύνσεις.</w:t>
      </w:r>
    </w:p>
    <w:p>
      <w:pPr>
        <w:spacing w:before="240" w:after="240"/>
        <w:rPr>
          <w:lang w:val="el" w:eastAsia="el"/>
        </w:rPr>
      </w:pPr>
      <w:r>
        <w:rPr>
          <w:lang w:val="el" w:eastAsia="el"/>
        </w:rPr>
        <w:t>8. Δ/νση 20η Προϋπολογισμού.</w:t>
      </w:r>
    </w:p>
    <w:p>
      <w:pPr>
        <w:spacing w:before="240" w:after="240"/>
        <w:rPr>
          <w:lang w:val="el" w:eastAsia="el"/>
        </w:rPr>
      </w:pPr>
      <w:r>
        <w:rPr>
          <w:lang w:val="el" w:eastAsia="el"/>
        </w:rPr>
        <w:t>9. Δ/νση Ηλεκτρονικής Διακυβέρνησης.</w:t>
      </w:r>
    </w:p>
    <w:p>
      <w:pPr>
        <w:spacing w:before="240" w:after="240"/>
        <w:rPr>
          <w:lang w:val="el" w:eastAsia="el"/>
        </w:rPr>
      </w:pPr>
      <w:r>
        <w:rPr>
          <w:lang w:val="el" w:eastAsia="el"/>
        </w:rPr>
        <w:t>10. Γραφείο Τύπου και Δημοσίων Σχέσεων.</w:t>
      </w:r>
    </w:p>
    <w:p>
      <w:pPr>
        <w:spacing w:before="240" w:after="240"/>
        <w:rPr>
          <w:lang w:val="el" w:eastAsia="el"/>
        </w:rPr>
      </w:pPr>
      <w:r>
        <w:rPr>
          <w:lang w:val="el" w:eastAsia="el"/>
        </w:rPr>
        <w:t>11. Γραφείο Επικοινωνίας και Πληροφόρησης Πολιτών.</w:t>
      </w:r>
    </w:p>
    <w:p>
      <w:pPr>
        <w:spacing w:before="240" w:after="240"/>
        <w:rPr>
          <w:lang w:val="el" w:eastAsia="el"/>
        </w:rPr>
      </w:pPr>
      <w:r>
        <w:rPr>
          <w:lang w:val="el" w:eastAsia="el"/>
        </w:rPr>
        <w:t>12. Δ/νση Τελών &amp; Ειδικών Φορολογιών (5).</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