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ΑΔΑ: ΒΙΡΔΗ-ΤΑΙ</w:t>
      </w:r>
    </w:p>
    <w:p>
      <w:pPr>
        <w:pStyle w:val="PreambelText"/>
        <w:spacing w:before="240" w:after="240"/>
        <w:rPr>
          <w:lang w:val="el" w:eastAsia="el"/>
        </w:rPr>
      </w:pPr>
      <w:r>
        <w:rPr>
          <w:lang w:val="el" w:eastAsia="el"/>
        </w:rPr>
        <w:t>ΑΝΑΡΤΗΤΕΑ ΣΤΟ ΔΙΑΔΙΚΤΥΟ ΑΔΑ:</w:t>
      </w:r>
    </w:p>
    <w:p>
      <w:pPr>
        <w:pStyle w:val="PreambelText"/>
        <w:spacing w:before="240" w:after="240"/>
        <w:rPr>
          <w:lang w:val="el" w:eastAsia="el"/>
        </w:rPr>
      </w:pPr>
      <w:r>
        <w:rPr>
          <w:b/>
          <w:bCs/>
          <w:lang w:val="el" w:eastAsia="el"/>
        </w:rPr>
        <w:t>ΕΛΛΗΝΙΚΗ ΔΗΜΟΚΡΑΤΙΑ</w:t>
      </w:r>
    </w:p>
    <w:p>
      <w:pPr>
        <w:pStyle w:val="PreambelText"/>
        <w:spacing w:before="240" w:after="240"/>
        <w:rPr>
          <w:lang w:val="el" w:eastAsia="el"/>
        </w:rPr>
      </w:pPr>
      <w:r>
        <w:rPr>
          <w:b/>
          <w:bCs/>
          <w:lang w:val="el" w:eastAsia="el"/>
        </w:rPr>
        <w:t>ΥΠΟΥΡΓΕΙΟ ΟΙΚΟΝΟΜΙΚΩΝ</w:t>
      </w:r>
    </w:p>
    <w:p>
      <w:pPr>
        <w:pStyle w:val="PreambelText"/>
        <w:spacing w:before="240" w:after="240"/>
        <w:rPr>
          <w:lang w:val="el" w:eastAsia="el"/>
        </w:rPr>
      </w:pPr>
      <w:r>
        <w:rPr>
          <w:b/>
          <w:bCs/>
          <w:lang w:val="el" w:eastAsia="el"/>
        </w:rPr>
        <w:t>ΓΕΝΙΚΗ ΓΡΑΜΜΑΤΕΙΑ</w:t>
      </w:r>
    </w:p>
    <w:p>
      <w:pPr>
        <w:pStyle w:val="PreambelText"/>
        <w:spacing w:before="240" w:after="240"/>
        <w:rPr>
          <w:lang w:val="el" w:eastAsia="el"/>
        </w:rPr>
      </w:pPr>
      <w:r>
        <w:rPr>
          <w:b/>
          <w:bCs/>
          <w:lang w:val="el" w:eastAsia="el"/>
        </w:rPr>
        <w:t>ΔΗΜΟΣΙΩΝ ΕΣΟΔΩΝ</w:t>
      </w:r>
    </w:p>
    <w:p>
      <w:pPr>
        <w:pStyle w:val="PreambelText"/>
        <w:spacing w:before="240" w:after="240"/>
        <w:rPr>
          <w:lang w:val="el" w:eastAsia="el"/>
        </w:rPr>
      </w:pPr>
      <w:r>
        <w:rPr>
          <w:b/>
          <w:bCs/>
          <w:lang w:val="el" w:eastAsia="el"/>
        </w:rPr>
        <w:t>ΓΕΝΙΚΗ Δ/ΝΣΗ ΦΟΡΟΛΟΓΙΑΣ</w:t>
      </w:r>
    </w:p>
    <w:p>
      <w:pPr>
        <w:pStyle w:val="PreambelText"/>
        <w:spacing w:before="240" w:after="240"/>
        <w:rPr>
          <w:lang w:val="el" w:eastAsia="el"/>
        </w:rPr>
      </w:pPr>
      <w:r>
        <w:rPr>
          <w:b/>
          <w:bCs/>
          <w:lang w:val="el" w:eastAsia="el"/>
        </w:rPr>
        <w:t>Δ/ΝΣΗ ΤΕΛΩΝ &amp; ΕΙΔΙΚΩΝ</w:t>
      </w:r>
    </w:p>
    <w:p>
      <w:pPr>
        <w:pStyle w:val="PreambelText"/>
        <w:spacing w:before="240" w:after="240"/>
        <w:rPr>
          <w:lang w:val="el" w:eastAsia="el"/>
        </w:rPr>
      </w:pPr>
      <w:r>
        <w:rPr>
          <w:b/>
          <w:bCs/>
          <w:lang w:val="el" w:eastAsia="el"/>
        </w:rPr>
        <w:t>ΦΟΡΟΛΟΓΙΩΝ</w:t>
      </w:r>
    </w:p>
    <w:p>
      <w:pPr>
        <w:pStyle w:val="Heading1"/>
        <w:spacing w:before="240" w:after="240"/>
        <w:rPr>
          <w:lang w:val="el" w:eastAsia="el"/>
        </w:rPr>
      </w:pPr>
      <w:r>
        <w:rPr>
          <w:rStyle w:val="hierarchy-num"/>
          <w:b/>
          <w:bCs/>
          <w:lang w:val="el" w:eastAsia="el"/>
        </w:rPr>
        <w:t>ΤΜΗΜΑ Α΄</w:t>
      </w:r>
    </w:p>
    <w:p>
      <w:pPr>
        <w:spacing w:before="240" w:after="240"/>
        <w:rPr>
          <w:lang w:val="el" w:eastAsia="el"/>
        </w:rPr>
      </w:pPr>
      <w:r>
        <w:rPr>
          <w:b/>
          <w:bCs/>
          <w:lang w:val="el" w:eastAsia="el"/>
        </w:rPr>
        <w:t>Ταχ.Δ/νση : Σίνα 2-4</w:t>
      </w:r>
    </w:p>
    <w:p>
      <w:pPr>
        <w:spacing w:before="240" w:after="240"/>
        <w:rPr>
          <w:lang w:val="el" w:eastAsia="el"/>
        </w:rPr>
      </w:pPr>
      <w:r>
        <w:rPr>
          <w:b/>
          <w:bCs/>
          <w:lang w:val="el" w:eastAsia="el"/>
        </w:rPr>
        <w:t>Ταχ.Κωδ. : 10672, ΑΘΗΝΑ</w:t>
      </w:r>
    </w:p>
    <w:p>
      <w:pPr>
        <w:spacing w:before="240" w:after="240"/>
        <w:rPr>
          <w:lang w:val="el" w:eastAsia="el"/>
        </w:rPr>
      </w:pPr>
      <w:r>
        <w:rPr>
          <w:b/>
          <w:bCs/>
          <w:lang w:val="el" w:eastAsia="el"/>
        </w:rPr>
        <w:t>Πληροφορίες: Π. Ζαρκαδούλα</w:t>
      </w:r>
    </w:p>
    <w:p>
      <w:pPr>
        <w:spacing w:before="240" w:after="240"/>
        <w:rPr>
          <w:lang w:val="el" w:eastAsia="el"/>
        </w:rPr>
      </w:pPr>
      <w:r>
        <w:rPr>
          <w:b/>
          <w:bCs/>
          <w:lang w:val="el" w:eastAsia="el"/>
        </w:rPr>
        <w:t>Τηλέφωνο : 2103642922</w:t>
      </w:r>
    </w:p>
    <w:p>
      <w:pPr>
        <w:spacing w:before="240" w:after="240"/>
        <w:rPr>
          <w:lang w:val="el" w:eastAsia="el"/>
        </w:rPr>
      </w:pPr>
      <w:r>
        <w:rPr>
          <w:b/>
          <w:bCs/>
          <w:lang w:val="el" w:eastAsia="el"/>
        </w:rPr>
        <w:t>FAX : 2103642251</w:t>
      </w:r>
    </w:p>
    <w:p>
      <w:pPr>
        <w:spacing w:before="240" w:after="240"/>
        <w:rPr>
          <w:lang w:val="el" w:eastAsia="el"/>
        </w:rPr>
      </w:pPr>
      <w:r>
        <w:rPr>
          <w:lang w:val="el" w:eastAsia="el"/>
        </w:rPr>
        <w:t>Αθήνα, 3 Φεβρουαρίου 2014</w:t>
      </w:r>
    </w:p>
    <w:p>
      <w:pPr>
        <w:spacing w:before="240" w:after="240"/>
        <w:rPr>
          <w:lang w:val="el" w:eastAsia="el"/>
        </w:rPr>
      </w:pPr>
      <w:r>
        <w:rPr>
          <w:lang w:val="el" w:eastAsia="el"/>
        </w:rPr>
        <w:t>Αριθ.Πρωτ: ΠΟΛ 1041</w:t>
      </w:r>
    </w:p>
    <w:p>
      <w:pPr>
        <w:spacing w:before="240" w:after="240"/>
        <w:rPr>
          <w:lang w:val="el" w:eastAsia="el"/>
        </w:rPr>
      </w:pPr>
      <w:r>
        <w:rPr>
          <w:b/>
          <w:bCs/>
          <w:lang w:val="el" w:eastAsia="el"/>
        </w:rPr>
        <w:t>ΠΡΟΣ</w:t>
      </w:r>
      <w:r>
        <w:rPr>
          <w:lang w:val="el" w:eastAsia="el"/>
        </w:rPr>
        <w:t>: Πίνακα Αποδεκτών</w:t>
      </w:r>
    </w:p>
    <w:p>
      <w:pPr>
        <w:spacing w:before="240" w:after="240"/>
        <w:rPr>
          <w:lang w:val="el" w:eastAsia="el"/>
        </w:rPr>
      </w:pPr>
      <w:r>
        <w:rPr>
          <w:b/>
          <w:bCs/>
          <w:lang w:val="el" w:eastAsia="el"/>
        </w:rPr>
        <w:t xml:space="preserve">ΘΕΜΑ : «Κοινοποίηση της υπ’αριθμ. 416/2010 </w:t>
      </w:r>
    </w:p>
    <w:p>
      <w:pPr>
        <w:spacing w:before="240" w:after="240"/>
        <w:rPr>
          <w:lang w:val="el" w:eastAsia="el"/>
        </w:rPr>
      </w:pPr>
      <w:r>
        <w:rPr>
          <w:b/>
          <w:bCs/>
          <w:lang w:val="el" w:eastAsia="el"/>
        </w:rPr>
        <w:t>γνωμοδότησηςτου Νομικού Συμβουλίου του Κράτους».</w:t>
      </w:r>
    </w:p>
    <w:p>
      <w:pPr>
        <w:spacing w:before="240" w:after="240"/>
        <w:rPr>
          <w:lang w:val="el" w:eastAsia="el"/>
        </w:rPr>
      </w:pPr>
      <w:r>
        <w:rPr>
          <w:lang w:val="el" w:eastAsia="el"/>
        </w:rPr>
        <w:t>Kοινοποιούμε για ενημέρωση και εφαρμογή, την αριθμ. 416/2010 Γνωμοδότηση του Νομικού Συμβουλίου του Κράτους (Ν.Σ.Κ.), που έγινε αποδεκτή από τον Γενικό Γραμματέα Δημοσίων Εσόδων.</w:t>
      </w:r>
    </w:p>
    <w:p>
      <w:pPr>
        <w:spacing w:before="240" w:after="240"/>
        <w:rPr>
          <w:lang w:val="el" w:eastAsia="el"/>
        </w:rPr>
      </w:pPr>
      <w:r>
        <w:rPr>
          <w:lang w:val="el" w:eastAsia="el"/>
        </w:rPr>
        <w:t>Με την παραπάνω Γνωμοδότηση το Ν.Σ.Κ. (Τμήμα Α΄) έκρινε, ομόφωνα, ότι:</w:t>
      </w:r>
    </w:p>
    <w:p>
      <w:pPr>
        <w:spacing w:before="240" w:after="240"/>
        <w:rPr>
          <w:lang w:val="el" w:eastAsia="el"/>
        </w:rPr>
      </w:pPr>
      <w:r>
        <w:rPr>
          <w:lang w:val="el" w:eastAsia="el"/>
        </w:rPr>
        <w:t>Οι εγγράφως καταρτιζόμενες συμβάσεις χρησιδανείου υπάγονται στις γενικές διατάξεις των άρθρων 13 παρ.1 και 15 παρ.1 του Κώδικα των Νόμων περί Τελών Χαρτοσήμου [π.δ. της 28-7-1931 (ΦΕΚ Α΄ 239)].</w:t>
      </w:r>
    </w:p>
    <w:p>
      <w:pPr>
        <w:spacing w:before="240" w:after="240"/>
        <w:rPr>
          <w:lang w:val="el" w:eastAsia="el"/>
        </w:rPr>
      </w:pPr>
      <w:r>
        <w:rPr>
          <w:lang w:val="el" w:eastAsia="el"/>
        </w:rPr>
        <w:t>Η αιτιολογία στην οποία βασίστηκε η ανωτέρω γνωμοδότηση συνίσταται στο ότι από το τέλος χαρτοσήμου σύμφωνα με τις διατάξεις της περ. ια του άρθρου 20 του Κώδικα Τελών Χαρτοσήμου, εξαιρούνται μόνον οι συμβάσεις δωρεών εν ζωή ή αιτία θανάτου και γονικής παροχής, όχι όμως και οι συμβάσεις χρησιδανείου, οι οποίες δεν κατανομάζονται στην εξαίρεση, δοθέντος ότι η σύμβαση δωρεάς και η σύμβαση χρησιδανείου δεν ταυτίζονται εννοιολογικά, παρότι έχουν ως κοινό στοιχείο τη μη καταβολή ανταλλάγματος, πρόκειται όμως περί διαφορετικών μορφών συμβάσεων, για αυτό, άλλωστε, ρυθμίζονται με διαφορετικές διατάξεις στον Αστικό Κώδικα.</w:t>
      </w:r>
    </w:p>
    <w:p>
      <w:pPr>
        <w:spacing w:before="240" w:after="240"/>
        <w:rPr>
          <w:lang w:val="el" w:eastAsia="el"/>
        </w:rPr>
      </w:pPr>
      <w:r>
        <w:rPr>
          <w:lang w:val="el" w:eastAsia="el"/>
        </w:rPr>
        <w:t>Επιπλέον, σημειώνουμε ότι, επί ενός ειδικοτέρου θέματος, αυτού της φορολογικής αντιμετώπισης της σύμβασης χρησιδανείου επενδυτικών αγαθών, τα οποία παραχωρεί δωρεάν η επιχείρηση σε πελάτες της με σκοπό να κάνουν χρήση των υπηρεσιών τους με την υποχρέωση όμως να τα επιστρέψουν σε περίπτωση λύσης ή λήξης της σύμβασης, δηλαδή, εάν επ’αυτής επιβάλλονται τέλη χαρτοσήμου ή πρέπει να εκληφθεί ως σύμβαση χρησιδανείου εντασσόμενη στο πλαίσιο της φορολογητέας με ΦΠΑ δραστηριότητας της επιχείρησης και να μην επιβαρυνθεί αυτή με τέλη χαρτοσήμου, έχει υποβληθεί, μετά από συνεννόηση με το ειδικό Γραφείο Φορολογίας, σχετικό ερώτημα προς το Ν.Σ.Κ. προκειμένου να γνωμοδοτήσει επ’αυτού λαμβανομένης υπόψη και της 3529/2010 απόφασης του Σ.τ.Ε..</w:t>
      </w:r>
    </w:p>
    <w:p>
      <w:pPr>
        <w:spacing w:before="240" w:after="240"/>
        <w:rPr>
          <w:lang w:val="el" w:eastAsia="el"/>
        </w:rPr>
      </w:pPr>
      <w:r>
        <w:rPr>
          <w:lang w:val="el" w:eastAsia="el"/>
        </w:rPr>
        <w:t>Συνημμένα: Η αριθμ. 416/2012 Γνωμοδότηση του Ν.Σ.Κ..</w:t>
      </w:r>
    </w:p>
    <w:p>
      <w:pPr>
        <w:spacing w:before="240" w:after="240"/>
        <w:rPr>
          <w:lang w:val="el" w:eastAsia="el"/>
        </w:rPr>
      </w:pPr>
      <w:r>
        <w:rPr>
          <w:b/>
          <w:bCs/>
          <w:lang w:val="el" w:eastAsia="el"/>
        </w:rPr>
        <w:t>ΑΚΡΙΒΕΣ ΑΝΤΙΓΡΑΦΟ</w:t>
      </w:r>
    </w:p>
    <w:p>
      <w:pPr>
        <w:spacing w:before="240" w:after="240"/>
        <w:rPr>
          <w:lang w:val="el" w:eastAsia="el"/>
        </w:rPr>
      </w:pPr>
      <w:r>
        <w:rPr>
          <w:b/>
          <w:bCs/>
          <w:lang w:val="el" w:eastAsia="el"/>
        </w:rPr>
        <w:t>Η ΠΡΟΪΣΤΑΜΕΝΗ ΤΗΣ ΓΡΑΜΜΑΤΕΙΑΣ</w:t>
      </w:r>
    </w:p>
    <w:p>
      <w:pPr>
        <w:spacing w:before="240" w:after="240"/>
        <w:rPr>
          <w:lang w:val="el" w:eastAsia="el"/>
        </w:rPr>
      </w:pPr>
      <w:r>
        <w:rPr>
          <w:b/>
          <w:bCs/>
          <w:u w:val="single"/>
          <w:lang w:val="el" w:eastAsia="el"/>
        </w:rPr>
        <w:t>ΠΙΝΑΚΑΣ ΑΠΟΔΕΚΤΩΝ:</w:t>
      </w:r>
    </w:p>
    <w:p>
      <w:pPr>
        <w:spacing w:before="240" w:after="240"/>
        <w:rPr>
          <w:lang w:val="el" w:eastAsia="el"/>
        </w:rPr>
      </w:pPr>
      <w:r>
        <w:rPr>
          <w:lang w:val="el" w:eastAsia="el"/>
        </w:rPr>
        <w:t xml:space="preserve">1. </w:t>
      </w:r>
      <w:r>
        <w:rPr>
          <w:b/>
          <w:bCs/>
          <w:u w:val="single"/>
          <w:lang w:val="el" w:eastAsia="el"/>
        </w:rPr>
        <w:t xml:space="preserve">ΑΠΟΔΕΚΤΕΣ ΓΙΑ ΕΝΕΡΓΕΙΑ </w:t>
      </w:r>
      <w:r>
        <w:rPr>
          <w:b/>
          <w:bCs/>
          <w:u w:val="single"/>
          <w:lang w:val="el" w:eastAsia="el"/>
        </w:rPr>
        <w:t xml:space="preserve">&amp; </w:t>
      </w:r>
      <w:r>
        <w:rPr>
          <w:b/>
          <w:bCs/>
          <w:u w:val="single"/>
          <w:lang w:val="el" w:eastAsia="el"/>
        </w:rPr>
        <w:t>ΚΟΙΝΟΠΟΙΗΣΗ:</w:t>
      </w:r>
    </w:p>
    <w:p>
      <w:pPr>
        <w:spacing w:before="240" w:after="240"/>
        <w:rPr>
          <w:lang w:val="el" w:eastAsia="el"/>
        </w:rPr>
      </w:pPr>
      <w:r>
        <w:rPr>
          <w:lang w:val="el" w:eastAsia="el"/>
        </w:rPr>
        <w:t>• Αποδέκτες Πίνακα Α΄</w:t>
      </w:r>
    </w:p>
    <w:p>
      <w:pPr>
        <w:spacing w:before="240" w:after="240"/>
        <w:rPr>
          <w:lang w:val="el" w:eastAsia="el"/>
        </w:rPr>
      </w:pPr>
      <w:r>
        <w:rPr>
          <w:lang w:val="el" w:eastAsia="el"/>
        </w:rPr>
        <w:t>• Αποδέκτες Πίνακα Β΄</w:t>
      </w:r>
    </w:p>
    <w:p>
      <w:pPr>
        <w:spacing w:before="240" w:after="240"/>
        <w:rPr>
          <w:lang w:val="el" w:eastAsia="el"/>
        </w:rPr>
      </w:pPr>
      <w:r>
        <w:rPr>
          <w:lang w:val="el" w:eastAsia="el"/>
        </w:rPr>
        <w:t>• Σ.Δ.Ο.Ε.</w:t>
      </w:r>
    </w:p>
    <w:p>
      <w:pPr>
        <w:spacing w:before="240" w:after="240"/>
        <w:rPr>
          <w:lang w:val="el" w:eastAsia="el"/>
        </w:rPr>
      </w:pPr>
      <w:r>
        <w:rPr>
          <w:lang w:val="el" w:eastAsia="el"/>
        </w:rPr>
        <w:t>• Όλες οι Οικονομικές Επιθεωρήσεις</w:t>
      </w:r>
    </w:p>
    <w:p>
      <w:pPr>
        <w:spacing w:before="240" w:after="240"/>
        <w:rPr>
          <w:lang w:val="el" w:eastAsia="el"/>
        </w:rPr>
      </w:pPr>
      <w:r>
        <w:rPr>
          <w:lang w:val="el" w:eastAsia="el"/>
        </w:rPr>
        <w:t>• Π.Ο.Ε. Δ.Ο.Υ.</w:t>
      </w:r>
    </w:p>
    <w:p>
      <w:pPr>
        <w:spacing w:before="240" w:after="240"/>
        <w:rPr>
          <w:lang w:val="el" w:eastAsia="el"/>
        </w:rPr>
      </w:pPr>
      <w:r>
        <w:rPr>
          <w:lang w:val="el" w:eastAsia="el"/>
        </w:rPr>
        <w:t>• Συντονιστική Επιτροπή Συμβολαιογραφικών Συλλόγων Ελλάδας, Γ. Γενναδίου 4, 106 78 Αθήνα (Για όλους τους Συμβολαιογραφικούς Συλλόγους της Ελλάδας)</w:t>
      </w:r>
    </w:p>
    <w:p>
      <w:pPr>
        <w:spacing w:before="240" w:after="240"/>
        <w:rPr>
          <w:lang w:val="el" w:eastAsia="el"/>
        </w:rPr>
      </w:pPr>
      <w:r>
        <w:rPr>
          <w:lang w:val="el" w:eastAsia="el"/>
        </w:rPr>
        <w:t>• Γραμματεία Ολομέλειας Προέδρων Δικηγορικών Συλλόγων Ελλάδος, Ακαδημίας 60, 10679, Αθήνα (Για όλους τους Δικηγορικούς Συλλόγους της Ελλάδας)</w:t>
      </w:r>
    </w:p>
    <w:p>
      <w:pPr>
        <w:spacing w:before="240" w:after="240"/>
        <w:rPr>
          <w:lang w:val="el" w:eastAsia="el"/>
        </w:rPr>
      </w:pPr>
      <w:r>
        <w:rPr>
          <w:lang w:val="el" w:eastAsia="el"/>
        </w:rPr>
        <w:t xml:space="preserve">2. </w:t>
      </w:r>
      <w:r>
        <w:rPr>
          <w:b/>
          <w:bCs/>
          <w:u w:val="single"/>
          <w:lang w:val="el" w:eastAsia="el"/>
        </w:rPr>
        <w:t>ΕΣΩΤΕΡΙΚΗ ΔΙΑΝΟΜΗ</w:t>
      </w:r>
    </w:p>
    <w:p>
      <w:pPr>
        <w:spacing w:before="240" w:after="240"/>
        <w:rPr>
          <w:lang w:val="el" w:eastAsia="el"/>
        </w:rPr>
      </w:pPr>
      <w:r>
        <w:rPr>
          <w:lang w:val="el" w:eastAsia="el"/>
        </w:rPr>
        <w:t>• Γραφείο Υπουργού Οικονομικών</w:t>
      </w:r>
    </w:p>
    <w:p>
      <w:pPr>
        <w:spacing w:before="240" w:after="240"/>
        <w:rPr>
          <w:lang w:val="el" w:eastAsia="el"/>
        </w:rPr>
      </w:pPr>
      <w:r>
        <w:rPr>
          <w:lang w:val="el" w:eastAsia="el"/>
        </w:rPr>
        <w:t>• Γραφείο Υφυπουργού Οικονομικών</w:t>
      </w:r>
    </w:p>
    <w:p>
      <w:pPr>
        <w:spacing w:before="240" w:after="240"/>
        <w:rPr>
          <w:lang w:val="el" w:eastAsia="el"/>
        </w:rPr>
      </w:pPr>
      <w:r>
        <w:rPr>
          <w:lang w:val="el" w:eastAsia="el"/>
        </w:rPr>
        <w:t>• Γραφείο Γεν. Γραμματέα Δημ. Εσόδων</w:t>
      </w:r>
    </w:p>
    <w:p>
      <w:pPr>
        <w:spacing w:before="240" w:after="240"/>
        <w:rPr>
          <w:lang w:val="el" w:eastAsia="el"/>
        </w:rPr>
      </w:pPr>
      <w:r>
        <w:rPr>
          <w:lang w:val="el" w:eastAsia="el"/>
        </w:rPr>
        <w:t>• Γεν. Δ/νση Φορολογίας</w:t>
      </w:r>
    </w:p>
    <w:p>
      <w:pPr>
        <w:spacing w:before="240" w:after="240"/>
        <w:rPr>
          <w:lang w:val="el" w:eastAsia="el"/>
        </w:rPr>
      </w:pPr>
      <w:r>
        <w:rPr>
          <w:lang w:val="el" w:eastAsia="el"/>
        </w:rPr>
        <w:t>• Γραφείο Τύπου &amp; Δημοσίων Σχέσεων</w:t>
      </w:r>
    </w:p>
    <w:p>
      <w:pPr>
        <w:spacing w:before="240" w:after="240"/>
        <w:rPr>
          <w:lang w:val="el" w:eastAsia="el"/>
        </w:rPr>
      </w:pPr>
      <w:r>
        <w:rPr>
          <w:lang w:val="el" w:eastAsia="el"/>
        </w:rPr>
        <w:t>• Γραφείο Επικοινωνίας &amp; Πληροφόρησης Πολιτών</w:t>
      </w:r>
    </w:p>
    <w:p>
      <w:pPr>
        <w:spacing w:before="240" w:after="240"/>
        <w:rPr>
          <w:lang w:val="el" w:eastAsia="el"/>
        </w:rPr>
      </w:pPr>
      <w:r>
        <w:rPr>
          <w:lang w:val="el" w:eastAsia="el"/>
        </w:rPr>
        <w:t>• Δ/νση Τελών και Ειδικών Φορολογιών, Τμήμα Α΄(3)</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character" w:customStyle="1" w:styleId="hierarchy-num">
    <w:name w:val="hierarchy-num"/>
    <w:basedOn w:val="DefaultParagraphFont"/>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