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ΑΔΑ: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ΚΩΔ.ΑΡΧΕΙΟΥ: 305.3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 ΓΕΝ.Δ/ΝΣΗ ΤΕΛΩΝΕΙΩΝ &amp; Ε.Φ.Κ.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ΕΙΔΙΚΩΝ ΦΟΡΩΝ ΚΑΤΑΝΑΛΩΣΗΣ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Τμήμα Β΄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- Φορολογίας Καπνού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3 Φεβρουαρίου 2014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Αρ.Πρωτ.:ΔΕΦΚΒ5002833ΕΞ2014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Κώδικας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Πληροφορίες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FAX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Ε-mail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Καραγεώργη Σερβίας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101 84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Σωκράτης Νικόπουλος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210-6987429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210-6987408</w:t>
      </w:r>
    </w:p>
    <w:p>
      <w:pPr>
        <w:spacing w:before="240" w:after="240"/>
        <w:rPr>
          <w:lang w:val="el" w:eastAsia="el"/>
        </w:rPr>
      </w:pP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finexcis@otenet.gr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ΠΡΟΣ: Ως Π.Δ.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«Κοινοποίηση της αριθ.πρωτ.ΔΕΦΚΒ5002027ΕΞ2014/22.1.2014 απόφασης του Γενικού Γραμματέα Δημοσίων Εσόδων για τον καθορισμό της Σταθμισμένης Μέσης Τιμής (Σ.Μ.Τ.) λιανικής πώλησης των τσιγάρων».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Σας κοινοποιούμε για ενημέρωση και εφαρμογή την ανωτέρω απόφαση του Γενικού Γραμματέα Δημοσίων Εσόδων που δημοσιεύθηκε στο ΦΕΚ163/Β΄/30.01.2014, με την οποία, βάσει των διατάξεων της παραγράφου 8 του άρθρου 97 του ν.2960/2001, «Εθνικός Τελωνειακός Κώδικας», καθορίζεται από </w:t>
      </w:r>
      <w:r>
        <w:rPr>
          <w:b/>
          <w:bCs/>
          <w:lang w:val="el" w:eastAsia="el"/>
        </w:rPr>
        <w:t>31</w:t>
      </w:r>
      <w:r>
        <w:rPr>
          <w:b/>
          <w:bCs/>
          <w:sz w:val="30"/>
          <w:szCs w:val="30"/>
          <w:vertAlign w:val="superscript"/>
          <w:lang w:val="el" w:eastAsia="el"/>
        </w:rPr>
        <w:t>ης</w:t>
      </w:r>
      <w:r>
        <w:rPr>
          <w:b/>
          <w:bCs/>
          <w:lang w:val="el" w:eastAsia="el"/>
        </w:rPr>
        <w:t xml:space="preserve"> Ιανουαρίου 2014, </w:t>
      </w:r>
      <w:r>
        <w:rPr>
          <w:lang w:val="el" w:eastAsia="el"/>
        </w:rPr>
        <w:t>νέα Σταθμισμένη Μέση Τιμή λιανικής πώλησης των τσιγάρων του έτους 2014, για τον υπολογισμό του ειδικού φόρου κατανάλωσης των προϊόντων αυτών κατ΄εφαρμογή των διατάξεων των παραγράφων 6 και 7 του ανωτέρω άρθρου.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ΑΚΡΙΒΕΣ ΑΝΤΙΓΡΑΦΟ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ΤΜΗΜΑΤΑΡΧΗΣ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ΠΡΟΪΣΤΑΜΕΝΗ ΤΗΣ Δ/ΝΣΗΣ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Ε.ΚΑΝΕΛΛΟΠΟΥΛΟΥ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Τελωνειακές Περιφέρειες (για άμεση ενημέρωση των Τελωνείων αρμοδιότητάς τους)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Τελωνεία Α΄, Β΄&amp; Γ΄ τάξης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Δ/νση 17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- Τμήμα 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Δ/νση Υποστήριξης Π.Σ.Τ.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Γ.Γ.Δ.Ε.- Δ/νση Ηλεκτρονικής Διακυβέρνησης (e-Εφαρμογές)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ΑΔΑ: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Γενική Διεύθυνση Οικονομικής Επιθεώρησης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Δ/νση Επιθεώρησης Υπηρεσιών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Δ/νση Προσωπικού Επιθεώρησης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Δ/νση Εποπτείας Εσωτερικού Ελέγχου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Σώμα Δίωξης Οικονομικού Εγκλήματος (Σ.Δ.Ο.Ε.) α) Κεντρική Υπηρεσία β) Περιφερειακές Δ/νσεις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ΕΛ.Υ.Τ. Αττικής – Θεσσαλονίκης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ΔΙΠΑΕ Αθηνών και Θεσσαλονίκης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Ομοσπονδία Εκτελωνιστών Αθήνας - Πειραιά Τσαμαδού 38 – Τ.Κ. 18531, Πειραιάς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Σύλλογος Εκτελωνιστών Αθήνας - Πειραιά Τσαμαδού 38 – Τ.Κ. 18531, Πειραιάς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Σύλλογος Εκτελωνιστών Θεσσαλονίκης Κουντουριώτου 13 – Τ.Κ. 54626, Θεσσαλονίκη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Σύνδεσμος Ελληνικών Καπνοβιομηχανιών (Σ.Ε.Κ.) Πανεπιστημίου 6 – Τ.Κ. 10671,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Ε.Σ.Κ.Ε.Ε.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Κονίτσης 3-5 - Τ.Κ. 15125, Μαρούσι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Καταστήματα Αφορολογήτων Ειδών (Κ.Α.Ε.)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23</w:t>
      </w:r>
      <w:r>
        <w:rPr>
          <w:sz w:val="30"/>
          <w:szCs w:val="30"/>
          <w:vertAlign w:val="superscript"/>
          <w:lang w:val="el" w:eastAsia="el"/>
        </w:rPr>
        <w:t>Ο</w:t>
      </w:r>
      <w:r>
        <w:rPr>
          <w:lang w:val="el" w:eastAsia="el"/>
        </w:rPr>
        <w:t xml:space="preserve"> χλμ. Ε.Ο. Αθηνών - Λαμίας Τ.Κ. 14565, Αγ. Στέφανος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ΠΑΠΑΣΤΡΑΤΟΣ ΑΒΕΣ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Ήμερος Τόπος, Κορορέμι -Τ.Κ. 19300, Ασπρόπυργος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Ελληνική Στατιστική Αρχή Πειραιώς 46 -Τ.Κ. 18510, Πειραιάς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 κ. Ι. Στουρνάρα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Υφυπουργού κ. Γ. Μαυραγάνη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Γενικού Γραμματέα κ. Θ. Θεοχάρη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Γεν. Δ/ντή Τελωνείων &amp; Ε.Φ.Κ. κ. Κ. Νηχωρίτη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Γραφείο Επικοινωνίας και Πληροφόρησης Πολιτών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Δ/νση 6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Οργάνωσης – Τμήμα 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Δ/νση Διεθνών Οικονομικών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Γενική Δ/νση Τελωνείων &amp; Ε.Φ.Κ. α) Δ/νση 2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Διαχείρισης Ανθρώπινου Δυναμικού (πρώην Δ3) (σε 2 αντίτυπα) β) Δ/νσεις:18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>,19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>,33</w:t>
      </w:r>
      <w:r>
        <w:rPr>
          <w:sz w:val="30"/>
          <w:szCs w:val="30"/>
          <w:vertAlign w:val="superscript"/>
          <w:lang w:val="el" w:eastAsia="el"/>
        </w:rPr>
        <w:t>η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Δ/νση Ε.Φ.Κ. – Τμήμα Β΄ (σε 5 αντίτυπα)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finexcis@otenet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