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17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ΔΑΣΜΟΛΟΓΙΚΗ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Ταχ. Δ/νση : Καρ. Σερβίας 10 </w:t>
      </w:r>
      <w:r>
        <w:rPr>
          <w:b/>
          <w:bCs/>
          <w:lang w:val="el" w:eastAsia="el"/>
        </w:rPr>
        <w:t>ΠΡΟΣ: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Βασιλική Παπακωνσταντίνου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69 87 486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69 87 489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d17- c@2001.syzefxis.gov.gr</w:t>
        </w:r>
      </w:hyperlink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286"/>
        <w:gridCol w:w="794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ΘΕΜΑ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Κοινοποίηση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Εκτελεστικού Κανονισμού (ΕΕ) αριθ. 1048/2013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της Επιτροπής της 28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ης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Οκτωβρίου 2013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σχετικά με την τροποποίηση του Καν.(ΕΚ) αριθ. 828/2009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για τη θέσπιση, για τις περιόδους εμπορίας 2009/2010 έως 2014/2015, λεπτομερών κανόνων εφαρμογής για την εισαγωγή και το ραφινάρισμα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προϊόντων του τομέα της ζάχαρης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 της δασμολογικής κλάσης 1701, στο πλαίσιο προτιμησιακών συμφωνιών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ΣΧΕΤ.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Η αριθ. πρωτ.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5036823/2946/11-11-2009 Δ.Υ.Ο.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(Κοινοποίηση του Καν.(ΕΕ) αριθ. 828/2009 της Επιτροπής της 10ης Σεπτεμβρίου 2009, για τη θέσπιση, για τις περιόδους εμπορίας 2009/2010 έως 2014/2015, λεπτομερών κανόνων εφαρμογής για την εισαγωγή και το ραφινάρισμα προϊόντων του τομέα της ζάχαρης, της δασμολογικής κλάσης 1701, στο πλαίσιο προτιμησιακών συμφωνιών)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 xml:space="preserve">Σας κοινοποιούμε για ενημέρωση και εφαρμογή, τον </w:t>
      </w:r>
      <w:r>
        <w:rPr>
          <w:b/>
          <w:bCs/>
          <w:lang w:val="el" w:eastAsia="el"/>
        </w:rPr>
        <w:t xml:space="preserve">Εκτελεστικό Κανονισμό (ΕΕ) αριθ. 1048/2013 </w:t>
      </w:r>
      <w:r>
        <w:rPr>
          <w:lang w:val="el" w:eastAsia="el"/>
        </w:rPr>
        <w:t>της Επιτροπής της 28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Οκτωβρίου 2013, που δημοσιεύθηκε στην Επίσημη Εφημερίδα της Ευρωπαϊκής Ένωσης (L 285/29.10.2013), ο οποίος αφορά </w:t>
      </w:r>
      <w:r>
        <w:rPr>
          <w:b/>
          <w:bCs/>
          <w:lang w:val="el" w:eastAsia="el"/>
        </w:rPr>
        <w:t xml:space="preserve">σε τροποποίηση του Καν.(ΕΚ) αριθ. 828/2009 </w:t>
      </w:r>
      <w:r>
        <w:rPr>
          <w:lang w:val="el" w:eastAsia="el"/>
        </w:rPr>
        <w:t xml:space="preserve">για τη θέσπιση, για τις περιόδους εμπορίας 2009/2010 έως 2014/2015, λεπτομερών κανόνων εφαρμογής για την εισαγωγή και το ραφινάρισμα </w:t>
      </w:r>
      <w:r>
        <w:rPr>
          <w:b/>
          <w:bCs/>
          <w:lang w:val="el" w:eastAsia="el"/>
        </w:rPr>
        <w:t>προϊόντων του τομέα της ζάχαρης</w:t>
      </w:r>
      <w:r>
        <w:rPr>
          <w:lang w:val="el" w:eastAsia="el"/>
        </w:rPr>
        <w:t>, της δασμολογικής κλάσης 1701, στο πλαίσιο προτιμησιακών συμφωνιών.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Ειδικότερα, σύμφωνα με το άρθρο 1 παράγραφος 4 του Καν.(ΕΚ) αριθ. 828/2009 της Επιτροπής, οι χώρες που περιλαμβάνονται στο Παράρτημα Ι του Καν.(ΕΚ) αριθ. 732/2008 ως λιγότερο αναπτυγμένες χώρες μπορούν να προστεθούν στο Παράρτημα Ι του Καν.(ΕΚ) αριθ. 828/2009.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Μιανμάρ/Βιρμανία ζήτησε από την Επιτροπή να συμπεριληφθεί στο Παράρτημα Ι του Καν.(ΕΕ) αριθ.828/2009 καθώς είναι μια λιγότερο αναπτυγμένη χώρα που περιλαμβάνεται στο Παράρτημα Ι του Καν.(ΕΚ) αριθ. 732/2008.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Επισημαίνεται ότι, η Μιανμάρ/Βιρμανία έχει επανεισαχθεί στο Σύστημα Γενικευμένων Δασμολογικών Προτιμήσεων στις 19 Ιουλίου 2013 με αναδρομική ισχύ από τις 13 Ιουνίου 2012, σύμφωνα με τον Καν. (ΕΕ) αριθ. 607/2013 του Ευρωπαϊκού Κοινοβουλίου και του Συμβουλίου.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Κατόπιν των ανωτέρω, με τον κοινοποιούμενο Κανονισμό, το Παράρτημα Ι Μέρος Ι του Καν.(ΕΚ) αριθ. 828/2009 αντικαθίσταται από το κείμενο του Παραρτήματος του κοινοποιούμενου Κανονισμού.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Καν.(ΕΕ) αριθ. 1048/2013 αρχίζει να ισχύει την τρίτη ημέρα από τη δημοσίευσή του στην Επίσημη Εφημερίδα της Ευρωπαϊκής Ένωσης.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>Οι επαγγελματικοί φορείς προς τους οποίους κοινοποιείται η παρούσα με τα συνημμένα της, παρακαλούνται όπως μεριμνήσουν για τη σχετική ενημέρωση των μελών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Τελωνεία Α΄ και Β΄ Τάξης </w:t>
      </w: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ΕΛ.Υ.Τ. Αττικής και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Οικονομικές Επιθεωρήσεις (έδρες τους &amp; Δ/νση Επιθεώρησης Υπηρεσιών)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Υπουργείο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Αγροτικής Πολιτικής και Τεκμηρίωσης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5 – Τ.Κ. 101 76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Υπουργείο Ανάπτυξης και Ανταγωνιστικότητας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Πολιτικής Διεθνούς Εμπορίου,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&amp; Κορνάρου 1, Τ.Κ.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ΟΠΕΚΕΠΕ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Α)Τμήμα Διακρατικών Συναλλαγών και Οριζοντίων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241 – Τ.Κ. 104 46,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Δ/νση ΔΗ.ΛΙ.ΖΩ.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Κεντρική Ένωση Επιμελητηρίων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 – T.K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Εμπορικά και Βιομηχανικά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Επαγγελματικά και Βιοτεχνικά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Σύνδεσμος Ελλήνων Βιομηχάνων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Σύνδεσμος Βιομηχανιών Αττικής και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10 – Τ.Κ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Σύνδεσμος Βιομηχανιών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24,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Σύνδεσμος Βιομηχ. Θεσσαλίας &amp; Κεντρ.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4 – Τ.Κ 382 21, ΒΟΛΟΣ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Σύνδεσμος Θεσσαλικών Βιομηχανιών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Μ.Αντύπα 2 – ΤΚ 412 22, ΛΑΡΙΣΑ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Κρατίνου 11 – Τ.Κ 105 52,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Σύνδεσμος Εξαγωγέων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25,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Σύνδεσμος Ελληνικών Επιχ/σεων Εξαγωγής Διακίνησης Φρούτων, Λαχανικών &amp; Χυμών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Ικαρίας 32Α - ΑΝΩ ΓΛΥΦΑΔΑ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Πανελλήνιος Σύνδεσμος Βιοτεχνιών &amp; Βιομηχανιών Πλεκτικής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Σωτήρος 2-4 – Τ.Κ 105 58,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Σύνδεσμος Επιχειρήσεων Πλεκτικής-Ετοίμου Ενδύματος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18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- Τ.Κ. 546 24, ΘΕΣ/ΝΙΚΗ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Σύνδεσμος Ανωνύμων Εταιρειών και Ε.Π.Ε.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16 – Τ.Κ. 106 72,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Εθνική Συνομοσπονδία Ελληνικού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Μητροπόλεως 42 – Τ.Κ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Οργανισμός Προώθησης Εξαγωγών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Αντύπα 86-88, Τ.Κ 163 46, ΗΛΙΟΥΠΟΛΗ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Ομοσπονδία Εκτελωνιστών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Καραΐσκου 82- Τ.Κ 185 32,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Σύλλογος Εκτελωνιστών Αθήνας –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25)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Γεν. Δ/ντού Τελωνείων και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Δ/νσεις : 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18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19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Ε.Φ.Κ., Δ33</w:t>
      </w:r>
      <w:r>
        <w:rPr>
          <w:sz w:val="30"/>
          <w:szCs w:val="30"/>
          <w:vertAlign w:val="superscript"/>
          <w:lang w:val="el" w:eastAsia="el"/>
        </w:rPr>
        <w:t>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Υποστήριξης Πληροφορικών Συστημάτων Τελωνείων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Διεθνών Οικονομικών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6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Δ/νση 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- Τμήμα Γ΄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7-_c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