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.ΓΕΝ. Δ/ΝΣΗ ΦΟΡΟΛΟΓΙΑΣ</w:t>
      </w:r>
    </w:p>
    <w:p>
      <w:pPr>
        <w:pStyle w:val="PreambelText"/>
        <w:spacing w:before="240" w:after="240"/>
        <w:rPr>
          <w:lang w:val="el" w:eastAsia="el"/>
        </w:rPr>
      </w:pPr>
      <w:r>
        <w:rPr>
          <w:b/>
          <w:bCs/>
          <w:lang w:val="el" w:eastAsia="el"/>
        </w:rPr>
        <w:t>ΔΙΕΥΘΥΝΣΗ ΦΟΡΟΛΟΓΙΑΣ ΕΙΣΟΔΗΜΑΤΟΣ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2 </w:t>
      </w:r>
      <w:r>
        <w:rPr>
          <w:b/>
          <w:bCs/>
          <w:lang w:val="el" w:eastAsia="el"/>
        </w:rPr>
        <w:t>.ΓΕΝ. Δ/ΝΣΗ ΦΟΡΟΛ. ΕΛΕΓΧΩΝ &amp; ΕΙΣΠΡΑΞΗΣ ΔΗΜ. ΕΣΟΔΩΝ</w:t>
      </w:r>
    </w:p>
    <w:p>
      <w:pPr>
        <w:spacing w:before="240" w:after="240"/>
        <w:rPr>
          <w:lang w:val="el" w:eastAsia="el"/>
        </w:rPr>
      </w:pPr>
      <w:r>
        <w:rPr>
          <w:b/>
          <w:bCs/>
          <w:lang w:val="el" w:eastAsia="el"/>
        </w:rPr>
        <w:t>Δ/ΝΣΗ ΕΠΙΧΕΙΡΗΣΙΑΚΟΥ ΣΧΕΔΙΑΣΜΟΥ ΤΜΗΜΑ Γ΄</w:t>
      </w:r>
    </w:p>
    <w:p>
      <w:pPr>
        <w:spacing w:before="240" w:after="240"/>
        <w:rPr>
          <w:lang w:val="el" w:eastAsia="el"/>
        </w:rPr>
      </w:pPr>
      <w:r>
        <w:rPr>
          <w:lang w:val="el" w:eastAsia="el"/>
        </w:rPr>
        <w:t xml:space="preserve">3 </w:t>
      </w:r>
      <w:r>
        <w:rPr>
          <w:b/>
          <w:bCs/>
          <w:lang w:val="el" w:eastAsia="el"/>
        </w:rPr>
        <w:t>.ΔΙΕΥΘΥΝΣΗ ΗΛΕΚΤΡΟΝΙΚΗΣ ΔΙΑΚΥΒΕΡΝΗΣΗΣ</w:t>
      </w:r>
    </w:p>
    <w:p>
      <w:pPr>
        <w:spacing w:before="240" w:after="240"/>
        <w:rPr>
          <w:lang w:val="el" w:eastAsia="el"/>
        </w:rPr>
      </w:pPr>
      <w:r>
        <w:rPr>
          <w:b/>
          <w:bCs/>
          <w:lang w:val="el" w:eastAsia="el"/>
        </w:rPr>
        <w:t>(e-ΕΦΑΡΜΟΓΕΣ)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.ΔΙΕΥΘΥΝΣΗ ΗΛΕΚΤΡΟΝΙΚΑ ΣΥΝΑΛΛΑΣΣΟΜΕΝΩΝ (e-ΥΠΗΡΕΣΙΕΣ) ΤΜΗΜΑ Γ΄</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Τ.Κ. : 101 84</w:t>
      </w:r>
    </w:p>
    <w:p>
      <w:pPr>
        <w:spacing w:before="240" w:after="240"/>
        <w:rPr>
          <w:lang w:val="el" w:eastAsia="el"/>
        </w:rPr>
      </w:pPr>
      <w:r>
        <w:rPr>
          <w:b/>
          <w:bCs/>
          <w:lang w:val="el" w:eastAsia="el"/>
        </w:rPr>
        <w:t>Τηλέφωνο : 210 3375317-8</w:t>
      </w:r>
    </w:p>
    <w:p>
      <w:pPr>
        <w:spacing w:before="240" w:after="240"/>
        <w:rPr>
          <w:lang w:val="el" w:eastAsia="el"/>
        </w:rPr>
      </w:pPr>
      <w:r>
        <w:rPr>
          <w:b/>
          <w:bCs/>
          <w:lang w:val="el" w:eastAsia="el"/>
        </w:rPr>
        <w:t>FAX : 210 3375001</w:t>
      </w:r>
    </w:p>
    <w:p>
      <w:pPr>
        <w:spacing w:before="240" w:after="240"/>
        <w:rPr>
          <w:lang w:val="el" w:eastAsia="el"/>
        </w:rPr>
      </w:pPr>
      <w:r>
        <w:rPr>
          <w:b/>
          <w:bCs/>
          <w:lang w:val="el" w:eastAsia="el"/>
        </w:rPr>
        <w:t>ΘΕΜΑ: Απαλλαγή από το τέλος επιτηδεύματος των αγροτών κατά τα πρώτα πέντε (5) έτη από την ημερομηνία τήρησης βιβλίων και ένταξής τους στο κανονικό καθεστώς ΦΠΑ.</w:t>
      </w:r>
    </w:p>
    <w:p>
      <w:pPr>
        <w:spacing w:before="240" w:after="240"/>
        <w:rPr>
          <w:lang w:val="el" w:eastAsia="el"/>
        </w:rPr>
      </w:pPr>
      <w:r>
        <w:rPr>
          <w:lang w:val="el" w:eastAsia="el"/>
        </w:rPr>
        <w:t>Για την εφαρμογή της παραγρ. 3 του άρθρου 31 του ν. 3986/2011, σχετικά με την εξαίρεση από την καταβολή του τέλους επιτηδεύματος, σας γνωρίζουμε τα κατωτέρω:</w:t>
      </w:r>
    </w:p>
    <w:p>
      <w:pPr>
        <w:spacing w:before="240" w:after="240"/>
        <w:rPr>
          <w:lang w:val="el" w:eastAsia="el"/>
        </w:rPr>
      </w:pPr>
      <w:r>
        <w:rPr>
          <w:lang w:val="el" w:eastAsia="el"/>
        </w:rPr>
        <w:t>1. Με τις διατάξεις της παρ.3 του άρθρου 31 του ν.3986/2011 (ΦΕΚ 152Α’) ορίζεται, ότι οι ατομικές εμπορικές επιχειρήσεις και οι ασκούντες ελευθέριο επάγγελμα, εξαιρούνται από την καταβολή του τέλους επιτηδεύματος, εφόσον δεν έχουν παρέλθει πέντε (5) έτη από την πρώτη έναρξη εργασιών, καθώς και οι περιπτώσεις ατομικών επιχειρήσεων, εφόσον για τον επιτηδευματία υπολείπονται τρία (3) έτη από το έτος της συνταξιοδότησής του. Ως έτος συνταξιοδότησης νοείται το 65</w:t>
      </w:r>
      <w:r>
        <w:rPr>
          <w:sz w:val="30"/>
          <w:szCs w:val="30"/>
          <w:vertAlign w:val="superscript"/>
          <w:lang w:val="el" w:eastAsia="el"/>
        </w:rPr>
        <w:t>ο</w:t>
      </w:r>
      <w:r>
        <w:rPr>
          <w:lang w:val="el" w:eastAsia="el"/>
        </w:rPr>
        <w:t xml:space="preserve"> έτος της ηλικίας.</w:t>
      </w:r>
    </w:p>
    <w:p>
      <w:pPr>
        <w:spacing w:before="240" w:after="240"/>
        <w:rPr>
          <w:lang w:val="el" w:eastAsia="el"/>
        </w:rPr>
      </w:pPr>
      <w:r>
        <w:rPr>
          <w:lang w:val="el" w:eastAsia="el"/>
        </w:rPr>
        <w:t>2. Επίσης, με την ΑΥΟ - ΠΟΛ. 1167/2.8.11, ορίστηκε ότι για την εφαρμογή των διατάξεων του άρθρου 31 του ν. 3986/2011 (επιβολή τέλους επιτηδεύματος) οι αγρότες ειδικού καθεστώτος δεν θεωρούνταν επιτηδευματίες.</w:t>
      </w:r>
    </w:p>
    <w:p>
      <w:pPr>
        <w:spacing w:before="240" w:after="240"/>
        <w:rPr>
          <w:lang w:val="el" w:eastAsia="el"/>
        </w:rPr>
      </w:pPr>
      <w:r>
        <w:rPr>
          <w:lang w:val="el" w:eastAsia="el"/>
        </w:rPr>
        <w:t>3. Από την υπηρεσία μας διευκρινίστηκε με το έγγραφο Δ12 Α1007810 ΕΞ2012- 13.01.2012 ότι, η πρώτη έναρξη και ένταξη, σε προγενέστερο χρόνο, στο ειδικό καθεστώς των αγροτών δεν καθιστούσε τον φορολογούμενο επιτηδευματία, ενώ τον καθιστούσε επιτηδευματία μόνο η προσθήκη καινούριας δραστηριότητας, με την οποία ο αγρότης αποκτούσε την ιδιότητα του επιτηδευματία. Κατ΄ επέκταση, η ημερομηνία δήλωσης της μεταβολής είναι επί της ουσίας η ημερομηνία πρώτης έναρξης επιτηδεύματος.</w:t>
      </w:r>
    </w:p>
    <w:p>
      <w:pPr>
        <w:spacing w:before="240" w:after="240"/>
        <w:rPr>
          <w:lang w:val="el" w:eastAsia="el"/>
        </w:rPr>
      </w:pPr>
      <w:r>
        <w:rPr>
          <w:lang w:val="el" w:eastAsia="el"/>
        </w:rPr>
        <w:t>4. Μετά από όσα αναφέρθηκαν πιο πάνω και για την ορθή και ομοιόμορφη εφαρμογή των διατάξεων παραγρ. 3 του άρθρου 31 του ν. 3986/2011 , σας γνωρίζουμε ότι, για τους αγρότες του ειδικού καθεστώτος ΦΠΑ που θα τηρήσουν βιβλία και θα ενταχθούν στο κανονικό καθεστώς ΦΠΑ για πρώτη φορά, η ημερομηνία μεταβολής θα θεωρείται ως πρώτη έναρξη και από την ημερομηνία αυτή και για τα επόμενα πέντε (5) έτη θα εξαιρούνται από την επιβολή του τέλους επιτηδεύματος. Ομοίως θα εξαιρούνται όσοι αγρότες τηρήσουν βιβλία και ενταχθούν στο κανονικό καθεστώς ΦΠΑ και έχουν κλείσει το 62</w:t>
      </w:r>
      <w:r>
        <w:rPr>
          <w:sz w:val="30"/>
          <w:szCs w:val="30"/>
          <w:vertAlign w:val="superscript"/>
          <w:lang w:val="el" w:eastAsia="el"/>
        </w:rPr>
        <w:t>ο</w:t>
      </w:r>
      <w:r>
        <w:rPr>
          <w:lang w:val="el" w:eastAsia="el"/>
        </w:rPr>
        <w:t xml:space="preserve"> έτος της ηλικίας τους.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ΓΙΑ ΕΝΕΡΓΕΙΑ</w:t>
      </w:r>
    </w:p>
    <w:p>
      <w:pPr>
        <w:spacing w:before="240" w:after="240"/>
        <w:rPr>
          <w:lang w:val="el" w:eastAsia="el"/>
        </w:rPr>
      </w:pPr>
      <w:r>
        <w:rPr>
          <w:lang w:val="el" w:eastAsia="el"/>
        </w:rPr>
        <w:t>1. Αποδέκτες πινάκων Α΄ και Β΄</w:t>
      </w:r>
    </w:p>
    <w:p>
      <w:pPr>
        <w:spacing w:before="240" w:after="240"/>
        <w:rPr>
          <w:lang w:val="el" w:eastAsia="el"/>
        </w:rPr>
      </w:pPr>
      <w:r>
        <w:rPr>
          <w:lang w:val="el" w:eastAsia="el"/>
        </w:rPr>
        <w:t>2. Οικονομικές Επιθεωρήσεις</w:t>
      </w:r>
    </w:p>
    <w:p>
      <w:pPr>
        <w:spacing w:before="240" w:after="240"/>
        <w:rPr>
          <w:lang w:val="el" w:eastAsia="el"/>
        </w:rPr>
      </w:pPr>
      <w:r>
        <w:rPr>
          <w:lang w:val="el" w:eastAsia="el"/>
        </w:rPr>
        <w:t>3. Περιφερειακές Δ/νσεις ΣΔΟΕ</w:t>
      </w:r>
    </w:p>
    <w:p>
      <w:pPr>
        <w:spacing w:before="240" w:after="240"/>
        <w:rPr>
          <w:lang w:val="el" w:eastAsia="el"/>
        </w:rPr>
      </w:pPr>
      <w:r>
        <w:rPr>
          <w:b/>
          <w:bCs/>
          <w:u w:val="single"/>
          <w:lang w:val="el" w:eastAsia="el"/>
        </w:rPr>
        <w:t>ΙΙ. ΓΙΑ ΚΟΙΝΟΠΟΙΗΣΗ</w:t>
      </w:r>
    </w:p>
    <w:p>
      <w:pPr>
        <w:spacing w:before="240" w:after="240"/>
        <w:rPr>
          <w:lang w:val="el" w:eastAsia="el"/>
        </w:rPr>
      </w:pPr>
      <w:r>
        <w:rPr>
          <w:lang w:val="el" w:eastAsia="el"/>
        </w:rPr>
        <w:t>Αποδέκτες πινάκων Η΄ και Κ΄</w:t>
      </w:r>
    </w:p>
    <w:p>
      <w:pPr>
        <w:spacing w:before="240" w:after="240"/>
        <w:rPr>
          <w:lang w:val="el" w:eastAsia="el"/>
        </w:rPr>
      </w:pPr>
      <w:r>
        <w:rPr>
          <w:b/>
          <w:bCs/>
          <w:u w:val="single"/>
          <w:lang w:val="el" w:eastAsia="el"/>
        </w:rPr>
        <w:t>ΙΙΙ.ΕΣΩΤΕΡΙΚΗ ΔΙΑΝΟΜΗ</w:t>
      </w:r>
    </w:p>
    <w:p>
      <w:pPr>
        <w:spacing w:before="240" w:after="240"/>
        <w:rPr>
          <w:lang w:val="el" w:eastAsia="el"/>
        </w:rPr>
      </w:pPr>
      <w:r>
        <w:rPr>
          <w:lang w:val="el" w:eastAsia="el"/>
        </w:rPr>
        <w:t>1. Γρ. κ. Υπουργού</w:t>
      </w:r>
    </w:p>
    <w:p>
      <w:pPr>
        <w:spacing w:before="240" w:after="240"/>
        <w:rPr>
          <w:lang w:val="el" w:eastAsia="el"/>
        </w:rPr>
      </w:pPr>
      <w:r>
        <w:rPr>
          <w:lang w:val="el" w:eastAsia="el"/>
        </w:rPr>
        <w:t>2. Γρ. κ. Υφυπουργού</w:t>
      </w:r>
    </w:p>
    <w:p>
      <w:pPr>
        <w:spacing w:before="240" w:after="240"/>
        <w:rPr>
          <w:lang w:val="el" w:eastAsia="el"/>
        </w:rPr>
      </w:pPr>
      <w:r>
        <w:rPr>
          <w:lang w:val="el" w:eastAsia="el"/>
        </w:rPr>
        <w:t>3. Γρ .κ. Γ. Γραμματέα</w:t>
      </w:r>
    </w:p>
    <w:p>
      <w:pPr>
        <w:spacing w:before="240" w:after="240"/>
        <w:rPr>
          <w:lang w:val="el" w:eastAsia="el"/>
        </w:rPr>
      </w:pPr>
      <w:r>
        <w:rPr>
          <w:lang w:val="el" w:eastAsia="el"/>
        </w:rPr>
        <w:t>4. Γρ.κ.κ. Γ. Δ/ντών</w:t>
      </w:r>
    </w:p>
    <w:p>
      <w:pPr>
        <w:spacing w:before="240" w:after="240"/>
        <w:rPr>
          <w:lang w:val="el" w:eastAsia="el"/>
        </w:rPr>
      </w:pPr>
      <w:r>
        <w:rPr>
          <w:lang w:val="el" w:eastAsia="el"/>
        </w:rPr>
        <w:t>5. Όλες τις Φορολογικές Δ/νσεις, Τμήματα και Ανεξάρτητα Γραφεία</w:t>
      </w:r>
    </w:p>
    <w:p>
      <w:pPr>
        <w:spacing w:before="240" w:after="240"/>
        <w:rPr>
          <w:lang w:val="el" w:eastAsia="el"/>
        </w:rPr>
      </w:pPr>
      <w:r>
        <w:rPr>
          <w:lang w:val="el" w:eastAsia="el"/>
        </w:rPr>
        <w:t>6. Ειδικό Νομικό Γραφείο Φορολογίας</w:t>
      </w:r>
    </w:p>
    <w:p>
      <w:pPr>
        <w:spacing w:before="240" w:after="240"/>
        <w:rPr>
          <w:lang w:val="el" w:eastAsia="el"/>
        </w:rPr>
      </w:pPr>
      <w:r>
        <w:rPr>
          <w:lang w:val="el" w:eastAsia="el"/>
        </w:rPr>
        <w:t>7. Γραφείο Επικοινωνίας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