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ΓΕΝ.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sz w:val="30"/>
          <w:szCs w:val="30"/>
          <w:vertAlign w:val="superscript"/>
          <w:lang w:val="el" w:eastAsia="el"/>
        </w:rPr>
        <w:t>Δ/ΝΣΗ 12η</w:t>
      </w: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Π.Δ.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Πληροφορίες: Μ. Δράγκου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 3375317-8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ΦΑΞ: 210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Διευκρινίσεις σχετικά με την υπεραξία από τη μεταβίβαση τίτλων του άρθρου 42 ν.4172/2013 (ΦΕΚΑ΄167).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τις διατάξεις της παρ. 1 του άρθρου 42 του ν.4172/2013 ορίζονται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«1. Κάθε εισόδημα που προκύπτει από υπεραξία μεταβίβασης των ακόλουθων τίτλων, καθώς και μεταβίβασης ολόκληρης της επιχείρησης, υπόκειται σε φόρο εισοδήματος φυσικών προσώπων, εφόσον δεν συνιστά επιχειρηματική δραστηριότητα: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μετοχές σε εταιρεία εισηγμένη ή μη σε χρηματιστηριακή αγορά, β) μερίδια ή μερίδες σε προσωπικές εταιρείες, γ) κρατικά ομόλογα κα έντοκα γραμμάτια ή εταιρικά ομόλογα, δ) παράγωγα χρηματοοικονομικά προϊόντα.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μεταβίβαση σύμφωνα με το προηγούμενο εδάφιο νοείται και η εισφορά των ανωτέρω τίτλων για την κάλυψη ή αύξηση κεφαλαίου εταιρείας.»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Επίσης, στο άρθρο 43 του νόμου αυτού ορίζεται ότι το παραπάνω εισόδημα φορολογείται με συντελεστή δεκαπέντε τοις εκατό (15%) χωρίς να γίνεται καμία αναφορά στο χρόνο καταβολής του εν λόγω φόρου. Επομένως, ο δικαιούχος της ωφέλειας κατά τη στιγμή της μεταβίβασης δεν υποχρεούται στην καταβολή φόρου αλλά ούτε και στην υποβολή αντίστοιχης δήλωσης υπεραξίας, όπως απαιτούσαν οι προϊσχύουσες διατάξεις του ν.2238/1994. Αντίθετα, αφού δεν προβλέπεται διαφορετικά από το νόμο, ο δικαιούχος της ωφέλειας θα συμπεριλάβει το αντίστοιχο εισόδημα στην ετήσια δήλωση φορολογίας εισοδήματος στο τέλος του έτους και θα φορολογηθεί σύμφωνα με τα ανωτέρω.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Κατόπιν των όσων προαναφέρθηκαν διευκρινίζεται ότι, για την υπεραξία που προκύπτει από τη μεταβίβαση των τίτλων που ορίζονται στο άρθρο 42 του ν.4172/2013 δεν απαιτείται η υποβολή δήλωσης φόρου υπεραξίας και η καταβολή του φόρου στην αρμόδια Δ.Ο.Υ.. Για όσες δηλώσεις φόρου υπεραξίας έχουν ήδη υποβληθεί και αφορούν μεταβιβάσεις που έχουν πραγματοποιηθεί από τις αρχές του 2014 και έπειτα και έχει καταβληθεί ο σχετικός φόρος, αυτός θα συμπεριληφθεί στις δηλώσεις φορολογίας εισοδήματος οικ. έτους 2015 προκειμένου να ληφθεί υπόψη κατά την εκκαθάριση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Με απόφαση του Γενικού Γραμματέα Δημοσίων Εσόδων θα οριστούν οι υπόχρεοι και η διαδικασία υποβολής της δήλωσης πληροφοριακών στοιχείων μεταβίβασης των εν λόγω τίτλων μέσω ηλεκτρονικής εφαρμογής της Διεύθυνσης Ηλεκτρονικής Διακυβέρνησης (Δ.ΗΛΕ.Δ).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Ο ΓΕΝ. ΓΡΑΜΜΑΤΕΑΣ ΔΗΜΟΣΙΩΝ ΕΣΟΔΩΝ ΠΡΟΪΣΤΑΜΕΝΗ ΤΗΣ ΓΡΑΜΜΑΤΕΙΑΣ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Θ.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Όλες οι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Γρ.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Γρ. κ. Αν. Γεν. Δ/ντη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Αν. Δ/ντή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Δ12 – Τμ. Α΄(4) – Φ.Τ.(1)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