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Η Ι Ν ΕΣ ΩΝ Ι. ΓΕΝΙΚΗ Δ/ΝΣΗ ΦΟΡΟΛΟΓΙΚΩΝ ΕΛΕΓΧΩΝ Π Η ΔΗ Ι Ν ΕΣ ΩΝ Η Ι Χ Ι ΜΟ ΤΜΗΜΑ Γ' Η Η Η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ΤΜΗΜΑΤΑ Α'- Β' . η </w:t>
      </w:r>
      <w:r>
        <w:rPr>
          <w:lang w:val="el" w:eastAsia="el"/>
        </w:rPr>
        <w:t xml:space="preserve">ρ ρ ίς 0 </w:t>
      </w:r>
      <w:r>
        <w:rPr>
          <w:b/>
          <w:bCs/>
          <w:lang w:val="el" w:eastAsia="el"/>
        </w:rPr>
        <w:t xml:space="preserve">. . </w:t>
      </w:r>
      <w:r>
        <w:rPr>
          <w:u w:val="single"/>
          <w:lang w:val="el" w:eastAsia="el"/>
        </w:rPr>
        <w:t xml:space="preserve">0 84 ή </w:t>
      </w:r>
      <w:r>
        <w:rPr>
          <w:b/>
          <w:bCs/>
          <w:lang w:val="el" w:eastAsia="el"/>
        </w:rPr>
        <w:t xml:space="preserve">λ ν </w:t>
      </w:r>
      <w:r>
        <w:rPr>
          <w:u w:val="single"/>
          <w:lang w:val="el" w:eastAsia="el"/>
        </w:rPr>
        <w:t xml:space="preserve">1 3375 8 </w:t>
      </w:r>
      <w:r>
        <w:rPr>
          <w:b/>
          <w:bCs/>
          <w:lang w:val="el" w:eastAsia="el"/>
        </w:rPr>
        <w:t xml:space="preserve">λ μ ιοτ ai </w:t>
      </w:r>
      <w:r>
        <w:rPr>
          <w:u w:val="single"/>
          <w:lang w:val="el" w:eastAsia="el"/>
        </w:rPr>
        <w:t>@ d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οχή φορ ν ος η β λ τη ρο γ Δ ίκη η ης ήλωση α ο ι η ύ η ι η υ ι ν οσωπ ν α </w:t>
      </w:r>
      <w:r>
        <w:rPr>
          <w:lang w:val="el" w:eastAsia="el"/>
        </w:rPr>
        <w:t>φορ ή ν βολή την ρ σία ας ρ τη άτ ν φο ών αι ρ π ν ς ς μερ μη ί ύ ης αι έσης ε κκαθ η εφ λα υ αι σωπι τ ι αθ ς αι ι αι λο ητ υ σκομί ν ι ατ ν βολ ς χετ ής ή ω ης ας ν ρί υ ε ξή ι ξ ι υ ρ υ ς φασ ς υ ν ού μμα α ς νι ή μμα ίς μο ίων όδων 0 6 1 9 0 4 δ ασί α ι αι λο ητ ά δ ση μο ρ λο ι ού ου τ βολή το ίν αι ρ η τ βολή α κο ς μα ής στ ρ τ τ ς ρ λο ού εν ς ικό μι ό σωπο μ ή ν τ χ ού μερ ν λο ι ή ί ηση ι ετ βολές υ φορ ύ τη π ν , ι κρ ό ο, ι ύ υ η ν π γγελμα ώ γκατ στ σεων ν δ ν εί εν ς ρ στ ρ τ τ ς υ αθ ς αι οι ς ηρ φορί ς υ ρ σχέθ κα ατ ν βολή ς ή ωσ ς ν ρ η π ι μα ής ρ στ ρ τ τ ς ν ς έ α 0 μερ ν π ν υ γι ι ετ βολές π ν κδ σης ς κο σ ς π υ π ί βάλλο ς λωση ρ η τ βολή ασι ν Φυ ικο σώπο ς κ ύ υ μι ά σωπα κει έ υ η ώσ υ έση υ υ κκαθ ρ η» βάλλ υ τη ρ λο ι ή ί ηση ν τέρ ή ωσ ς ετ βολ , σκομί ν ς ατ ρ σ , χετ ή να οί σ ατ χ ρ ης το τοι ί κεί π π ί ύ ι ύ η υ ατ στ τ ό π π πρ κύ ι ήξ του ν υ ι ρ ει ς . π ς ας ν ρι ε όδ ρ σία υ υ εί π η αι γωνι τι ότ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1.Ό</w:t>
      </w:r>
      <w:r>
        <w:rPr>
          <w:lang w:val="el" w:eastAsia="el"/>
        </w:rPr>
        <w:t xml:space="preserve">ταν μία κεφαλαιουχική εταιρεία (Α.Ε., Ε.Π.Ε., Ι.Κ.Ε.) λύεται, </w:t>
      </w:r>
      <w:r>
        <w:rPr>
          <w:b/>
          <w:bCs/>
          <w:u w:val="single"/>
          <w:lang w:val="el" w:eastAsia="el"/>
        </w:rPr>
        <w:t xml:space="preserve">τίθεται σε όλες τις περιπτώσεις υποχρεωτικά εκ του νόμου σε εκκαθάριση </w:t>
      </w:r>
      <w:r>
        <w:rPr>
          <w:u w:val="single"/>
          <w:lang w:val="el" w:eastAsia="el"/>
        </w:rPr>
        <w:t>(με εξαίρεση την πτώχευση</w:t>
      </w:r>
      <w:r>
        <w:rPr>
          <w:i/>
          <w:iCs/>
          <w:u w:val="single"/>
          <w:lang w:val="el" w:eastAsia="el"/>
        </w:rPr>
        <w:t>)</w:t>
      </w:r>
      <w:r>
        <w:rPr>
          <w:i/>
          <w:iCs/>
          <w:lang w:val="el" w:eastAsia="el"/>
        </w:rPr>
        <w:t>.</w:t>
      </w:r>
      <w:r>
        <w:rPr>
          <w:lang w:val="el" w:eastAsia="el"/>
        </w:rPr>
        <w:t xml:space="preserve"> Με την ολοκλήρωση της εκκαθάρισης, η εταιρεία διαγράφεται από το Γ.Ε.ΜΗ.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 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Στην περίπτωση, κατά την οποία, </w:t>
      </w:r>
      <w:r>
        <w:rPr>
          <w:b/>
          <w:bCs/>
          <w:lang w:val="el" w:eastAsia="el"/>
        </w:rPr>
        <w:t xml:space="preserve">η λύση κεφαλαιουχικής εταιρείας επέρχεται με φ η ης εν ς υ ε ης ν όχων α ω </w:t>
      </w:r>
      <w:r>
        <w:rPr>
          <w:lang w:val="el" w:eastAsia="el"/>
        </w:rPr>
        <w:t>τ χ ρι η ς ν όγ π φασ ς το ίι ν γκα ϋθ ση, κει έν υ π λθει μι ά ύ η ς τ ι ίς τ χετ ή ατ χ ρι η, τ ι ί ύ ι π ι κει κοπ ς αι ει υ εί όν για σ οπ της κ αθ ρ 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Συν π ς, ατ ν βολή τη Φο λο ι ή ί ηση ς ή ω ης μετα λή ι τη θέ ς υ κκαθ ρ η», σκομί τ ι ν κο σ ατ χ ρι ς χετ ής π φασ ς 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Ως ημερομηνία μεταβολής, καταχωρείται στο υποσύστημα Μητρώου </w:t>
      </w:r>
      <w:r>
        <w:rPr>
          <w:b/>
          <w:bCs/>
          <w:lang w:val="el" w:eastAsia="el"/>
        </w:rPr>
        <w:t>η ημερομηνία α ρ ης ης φα η το Γ.Ε.ΜΗ.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Στην περίπτωση λύσης κεφαλαιουχικής εταιρείας </w:t>
      </w:r>
      <w:r>
        <w:rPr>
          <w:b/>
          <w:bCs/>
          <w:lang w:val="el" w:eastAsia="el"/>
        </w:rPr>
        <w:t>λόγω παρόδου χρόνου διάρκειας</w:t>
      </w:r>
      <w:r>
        <w:rPr>
          <w:lang w:val="el" w:eastAsia="el"/>
        </w:rPr>
        <w:t xml:space="preserve">, ατ ν βολή τη ρ λο ι ή ί ηση της δή ωσ ς ετ βολή ι έση ς«υ εκκαθάριση», προσκομίζεται καταστατικό, από το οποίο προκύπτει η ημερομηνία λήξης της διάρκειάς της και βεβαίωση, από την αρμόδια υπηρεσία Γ.Ε.ΜΗ., ότι δεν έχει δημοσιευθεί άλλη π π ί ση ατ στ τ ού ς πρ ς ν ρ τ ση υ ν υ ι ρ ει ς μερ μη ετ βολή ατ χ ρεί ι το σύστ μα τ ου </w:t>
      </w:r>
      <w:r>
        <w:rPr>
          <w:b/>
          <w:bCs/>
          <w:lang w:val="el" w:eastAsia="el"/>
        </w:rPr>
        <w:t>η επο μ η μ ομ ν ξη ης ι κ ης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Στην περίπτωση λύσης κεφαλαιουχικής εταιρείας </w:t>
      </w:r>
      <w:r>
        <w:rPr>
          <w:b/>
          <w:bCs/>
          <w:lang w:val="el" w:eastAsia="el"/>
        </w:rPr>
        <w:t>με δικαστική απόφαση</w:t>
      </w:r>
      <w:r>
        <w:rPr>
          <w:lang w:val="el" w:eastAsia="el"/>
        </w:rPr>
        <w:t>, κατά την υποβολή στη Φορολογική Διοίκηση της δήλωσης μεταβολής για τη θέση της «υπό εκκαθάριση», σκομί τ ι αν κο ωσ ατ χ ρι ης τη ι αστ ής π φασ ς το Γ.Ε.ΜΗ.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μη ετ βολ ς, κατ χ ρεί ι το σύστ μα τ ου </w:t>
      </w:r>
      <w:r>
        <w:rPr>
          <w:b/>
          <w:bCs/>
          <w:lang w:val="el" w:eastAsia="el"/>
        </w:rPr>
        <w:t>μ ομ ν υ προσδιορίζεται από τη δικαστική απόφαση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 xml:space="preserve">Τη λύση προσωπικής εταιρείας (Ο.Ε., Ε.Ε.) - </w:t>
      </w:r>
      <w:r>
        <w:rPr>
          <w:b/>
          <w:bCs/>
          <w:lang w:val="el" w:eastAsia="el"/>
        </w:rPr>
        <w:t xml:space="preserve">κι εφόσον οι εταίροι δεν έχουν συμφωνήσει διαφορετικά </w:t>
      </w:r>
      <w:r>
        <w:rPr>
          <w:lang w:val="el" w:eastAsia="el"/>
        </w:rPr>
        <w:t>- ακολουθεί η εκκαθάριση.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τερα: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Στην περίπτωση λύσης προσωπικής εταιρείας </w:t>
      </w:r>
      <w:r>
        <w:rPr>
          <w:b/>
          <w:bCs/>
          <w:lang w:val="el" w:eastAsia="el"/>
        </w:rPr>
        <w:t>λόγω παρόδου του χρόνου διάρκειας</w:t>
      </w:r>
      <w:r>
        <w:rPr>
          <w:lang w:val="el" w:eastAsia="el"/>
        </w:rPr>
        <w:t>, ατ ν βολή ρ λο ι ή ί ηση ς ή ωσ ς ετ βο ή ι έση ς εκκαθάριση», προσκομίζεται καταστατικό, από το οποίο προκύπτει η ημερομηνία λήξης της διάρκειάς της και βεβαίωση από την αρμόδια υπηρεσία Γ.Ε.ΜΗ., ότι δεν έχει δημοσιευθεί άλλη π π ί ση ατ στ τ ού ς πρ ς ν ρ τ ση υ ν υ ι ρ ει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Ως ημερομηνία μεταβολής, καταχωρείται στο υποσύστημα Μητρώου </w:t>
      </w:r>
      <w:r>
        <w:rPr>
          <w:b/>
          <w:bCs/>
          <w:lang w:val="el" w:eastAsia="el"/>
        </w:rPr>
        <w:t>η επομένη της ξη ης κ η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Στην περίπτωση λύσης προσωπικής εταιρείας </w:t>
      </w:r>
      <w:r>
        <w:rPr>
          <w:b/>
          <w:bCs/>
          <w:lang w:val="el" w:eastAsia="el"/>
        </w:rPr>
        <w:t>με απόφαση των μελών ή εταίρων ή με καταστατικό λύσης της εταιρείας</w:t>
      </w:r>
      <w:r>
        <w:rPr>
          <w:lang w:val="el" w:eastAsia="el"/>
        </w:rPr>
        <w:t>, κατά την υποβολή στη Φορολογική Διοίκηση, της δήλωσης ετ βολή ι έση ς κκαθ ρ η σκομί τ ι ν κο σ ατ χ ρι ης το Γ.Ε.ΜΗ. της απόφασης ή του καταστατικού λύσης, κατά περίπτωση.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Ως ημερομηνία μεταβολής, καταχωρείται στο υποσύστημα Μητρώου </w:t>
      </w:r>
      <w:r>
        <w:rPr>
          <w:b/>
          <w:bCs/>
          <w:lang w:val="el" w:eastAsia="el"/>
        </w:rPr>
        <w:t>η ημερομηνία α ρ ης το ης φ η υ α τα ι ύ 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Στην περίπτωση λύσης προσωπικής εταιρείας </w:t>
      </w:r>
      <w:r>
        <w:rPr>
          <w:b/>
          <w:bCs/>
          <w:lang w:val="el" w:eastAsia="el"/>
        </w:rPr>
        <w:t>με δικαστική απόφαση</w:t>
      </w:r>
      <w:r>
        <w:rPr>
          <w:lang w:val="el" w:eastAsia="el"/>
        </w:rPr>
        <w:t>, κατά την υποβολή της δήλωσης μεταβολής στη Φορολογική Διοίκηση για τη θέση της «υπό εκκαθάριση», σκομί τ ι αν κο ωσ ατ χ ρι ης τη ι αστ ής π φασ ς το Γ.Ε.ΜΗ.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Ως ημερομηνία μεταβολής, καταχωρείται στο υποσύστημα Μητρώου </w:t>
      </w:r>
      <w:r>
        <w:rPr>
          <w:b/>
          <w:bCs/>
          <w:lang w:val="el" w:eastAsia="el"/>
        </w:rPr>
        <w:t>η ημερομηνία που προσδιορίζεται από τη δικαστική απόφαση</w:t>
      </w:r>
      <w:r>
        <w:rPr>
          <w:lang w:val="el" w:eastAsia="el"/>
        </w:rPr>
        <w:t>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Επιπλέον, </w:t>
      </w:r>
      <w:r>
        <w:rPr>
          <w:b/>
          <w:bCs/>
          <w:lang w:val="el" w:eastAsia="el"/>
        </w:rPr>
        <w:t xml:space="preserve">με τις διατάξεις των άρθρων 267 και 281 του ν. 4072/2012 </w:t>
      </w:r>
      <w:r>
        <w:rPr>
          <w:lang w:val="el" w:eastAsia="el"/>
        </w:rPr>
        <w:t>στη περίπτωση υ σωπι ή τ ί ε η οσι ύ ει π ί ση ατ στ τ ού ι ν οδο ου τ ίυ εντός διμήνου από την ημερομηνία που υφίσταται ως μονοπρόσωπη (άρθρο 267) ή από την μερ μη ξό ο υ ον δ ού μο μο τ ίυ ρ ρ 8 ) ν το ι φ σον ι τ ίι ε χ υ υμφ σει ι φορ τ ά, ετα ί λύετ ι αι κο ου εί εκ αθ ρ η. π ς, τ ολή τη ρ λο ι ή ί ηση ς ή ωσ ς ετ βολή ι έση ς εκκαθάρ η σκομί τ ι ν κο σ της ρ όδ ς ρ σίας Γ.Ε.ΜΗ. καθ αι εβαί σ ς τ ρ λθ ίη ρί η οσι υ εί π ί ση υ ατ στ τ ο υ φορ του τ ίυ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μερ μη ετ βο ής ατ χ ρεί ι το σύστ μα τ ου </w:t>
      </w:r>
      <w:r>
        <w:rPr>
          <w:b/>
          <w:bCs/>
          <w:lang w:val="el" w:eastAsia="el"/>
        </w:rPr>
        <w:t>μ ομ ν παρόδου του διμήνου από την επέλευση του γεγονότος</w:t>
      </w:r>
      <w:r>
        <w:rPr>
          <w:lang w:val="el" w:eastAsia="el"/>
        </w:rPr>
        <w:t>, όπως αυτή προκύπτει, από τη χετ ή αν κο 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Υπόχ ος β λή τη ρ λο ι ή ηση ν π λ σ ν ίι εκκαθαριστής (ή οι εκκαθαριστές), ο οποίος συνυποβάλλει το έντυπο Μ7 « Δήλωση Σχέσεων Φορολογούμενου» προσκομίζοντας, κατά περίπτωση και το στοιχείο εκείνο, από το οποίο κύ ι ρ μός υ ατ χ ρη έν το ατ στ τ ό ς τ ί ς ν κο σ ρ όδ ς ρ σία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σθετ , ν φέρο ε τ ατ ν βολή ή ωσ ς ετ βολή ύμφ ν ε ανωτέρω </w:t>
      </w:r>
      <w:r>
        <w:rPr>
          <w:b/>
          <w:bCs/>
          <w:lang w:val="el" w:eastAsia="el"/>
        </w:rPr>
        <w:t>και όπου απαιτείται ανακοίνωση αρμόδιας υπηρεσίας Γ.Ε.ΜΗ.</w:t>
      </w:r>
      <w:r>
        <w:rPr>
          <w:lang w:val="el" w:eastAsia="el"/>
        </w:rPr>
        <w:t xml:space="preserve">, </w:t>
      </w:r>
      <w:r>
        <w:rPr>
          <w:i/>
          <w:iCs/>
          <w:u w:val="single"/>
          <w:lang w:val="el" w:eastAsia="el"/>
        </w:rPr>
        <w:t>ως</w:t>
      </w:r>
      <w:r>
        <w:rPr>
          <w:u w:val="single"/>
          <w:lang w:val="el" w:eastAsia="el"/>
        </w:rPr>
        <w:t xml:space="preserve"> ημερομηνία εκκίνησης των προθεσμιών για τον υπολογισμό του εκπροθέσμου, λογίζεται η ημερομηνία της χετ ής ν κο σ ς</w:t>
      </w:r>
      <w:r>
        <w:rPr>
          <w:lang w:val="el" w:eastAsia="el"/>
        </w:rPr>
        <w:t xml:space="preserve"> _m </w:t>
      </w:r>
      <w:r>
        <w:rPr>
          <w:u w:val="single"/>
          <w:lang w:val="el" w:eastAsia="el"/>
        </w:rPr>
        <w:t>ς ρ σία</w:t>
      </w:r>
      <w:r>
        <w:rPr>
          <w:lang w:val="el" w:eastAsia="el"/>
        </w:rPr>
        <w:t xml:space="preserve">ς Γ.Ε.ΜΗ. και χ μερ μη γμα π ί σης ετ βολή </w:t>
      </w:r>
      <w:r>
        <w:rPr>
          <w:b/>
          <w:bCs/>
          <w:lang w:val="el" w:eastAsia="el"/>
        </w:rPr>
        <w:t>ΓΡ Ε Η Ι Ν ΕΣ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ι ο ο τ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 Μ Δ ΓΙ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Όλες τις Δημόσιες Οικονομικές Υπηρεσίες (Δ.Ο.Υ.)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Γ.Ε.Φ. (Γραφεία Εξυπηρέτησης Φορολογουμένων)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Διεύθυνση Υποστήριξης Ηλεκτρονικά Συναλλασσομένων (e - υπηρεσίες)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ΓΓΔΕ και στην ιστοσελίδα της ΓΓΠΣ)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Υπουργείο Ανάπτυξης και Ανταγωνιστικότητας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 ρ ί 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 ε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Κάνιγγος - 101 81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Ι Π Ι 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Α', εκτός της περίπτωσης 4 αυτού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Πινάκα Β', εκτός των περιπτώσεων 1 και 2 αυτού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Πινάκα Στ ', εκτός των περιπτώσεων 4,5,6 αυτού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ΠΟΕ-Δ.Ο.Υ.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Πινάκα Η', εκτός των περιπτώσεων 4,10, 11 αυτού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ΩΤ Ι Μ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Υφυπουργού Οικονομικών κ. Μαυραγάνη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Γενικού Γραμματέα Δημ. Εσόδων κ. Θεοχάρη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Αναπλ. Προϊσταμένης Γεν. Δ/νσης Φορ. Ελέγχων &amp; Είσπραξης Δημ. Εσόδων κας Μαυρίδου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Διεύθυνση Φορολογίας Εισοδήματος - τμήματα Α' - Β'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Διεύθυνση Επιχειρησιακού Σχεδιασμού - τμήμα Γ'(20 αντίτυπα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