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24 Μαρτίου 2014</w:t>
      </w:r>
    </w:p>
    <w:p>
      <w:pPr>
        <w:pStyle w:val="PreambelText"/>
        <w:spacing w:before="240" w:after="240"/>
        <w:rPr>
          <w:lang w:val="el" w:eastAsia="el"/>
        </w:rPr>
      </w:pPr>
      <w:r>
        <w:rPr>
          <w:lang w:val="el" w:eastAsia="el"/>
        </w:rPr>
        <w:t>Αριθ.Πρωτ:ΠΟΛ 1087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lang w:val="el" w:eastAsia="el"/>
        </w:rPr>
        <w:t xml:space="preserve">&amp; </w:t>
      </w:r>
      <w:r>
        <w:rPr>
          <w:b/>
          <w:bCs/>
          <w:lang w:val="el" w:eastAsia="el"/>
        </w:rPr>
        <w:t>ΤΕΛΩΝΕΙΑΚΩΝ ΘΕΜΑΤΩΝ 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 72 ΑΘΗΝΑ</w:t>
      </w:r>
    </w:p>
    <w:p>
      <w:pPr>
        <w:spacing w:before="240" w:after="240"/>
        <w:rPr>
          <w:lang w:val="el" w:eastAsia="el"/>
        </w:rPr>
      </w:pPr>
      <w:r>
        <w:rPr>
          <w:b/>
          <w:bCs/>
          <w:lang w:val="el" w:eastAsia="el"/>
        </w:rPr>
        <w:t>Πληροφορίες: Α. Γιαννακούλη</w:t>
      </w:r>
    </w:p>
    <w:p>
      <w:pPr>
        <w:spacing w:before="240" w:after="240"/>
        <w:rPr>
          <w:lang w:val="el" w:eastAsia="el"/>
        </w:rPr>
      </w:pPr>
      <w:r>
        <w:rPr>
          <w:b/>
          <w:bCs/>
          <w:lang w:val="el" w:eastAsia="el"/>
        </w:rPr>
        <w:t>Τηλέφωνο : 210 3642922</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 xml:space="preserve">ΘΕΜΑ: « </w:t>
      </w:r>
      <w:r>
        <w:rPr>
          <w:lang w:val="el" w:eastAsia="el"/>
        </w:rPr>
        <w:t>Κοινοποίηση των διατάξεων της παρ. 2 του άρθρου 44 του νόμου 4049/2012 (35Α΄/23.2.2012) ».</w:t>
      </w:r>
    </w:p>
    <w:p>
      <w:pPr>
        <w:spacing w:before="240" w:after="240"/>
        <w:rPr>
          <w:lang w:val="el" w:eastAsia="el"/>
        </w:rPr>
      </w:pPr>
      <w:r>
        <w:rPr>
          <w:lang w:val="el" w:eastAsia="el"/>
        </w:rPr>
        <w:t>Κοινοποιούμε, κατωτέρω, τις διατάξεις της παρ. 2 του άρθρου 44 του νόμου 4049/2012 «Αντιμετώπιση της βίας στα γήπεδα , του Ντόπινγκ, των προσυνεννοημένων αγώνων και λοιπές διατάξεις» και παρέχουμε οδηγίες για την ορθή και ομοιόμορφη εφαρμογή τους.</w:t>
      </w:r>
    </w:p>
    <w:p>
      <w:pPr>
        <w:spacing w:before="240" w:after="240"/>
        <w:rPr>
          <w:lang w:val="el" w:eastAsia="el"/>
        </w:rPr>
      </w:pPr>
      <w:r>
        <w:rPr>
          <w:lang w:val="el" w:eastAsia="el"/>
        </w:rPr>
        <w:t>Με τις κοινοποιούμενες διατάξεις, ρυθμίζεται διαφορετικά ο τρόπος υπολογισμού του ειδικού φόρου για την ανάπτυξη της κινηματογραφικής τέχνης, ο οποίος επιβάλλεται σύμφωνα με τις διατάξεις του άρθρου 60 του ν. 1731/1987 (161Α΄) στα εισιτήρια των κινηματογράφων, στις περιπτώσεις των επιχειρήσεων εκμετάλλευσης αιθουσών κινηματογράφου, όπως αυτές ορίζονται στη διάταξη του άρθρου 2 παρ.1 στοιχείο ε΄του ν. 3905/2010 (219Α΄).</w:t>
      </w:r>
    </w:p>
    <w:p>
      <w:pPr>
        <w:spacing w:before="240" w:after="240"/>
        <w:rPr>
          <w:lang w:val="el" w:eastAsia="el"/>
        </w:rPr>
      </w:pPr>
      <w:r>
        <w:rPr>
          <w:lang w:val="el" w:eastAsia="el"/>
        </w:rPr>
        <w:t>Ως «επιχείρηση αιθουσών», νοείται κάθε επιχείρηση που ασκεί φυσικό ή νομικό πρόσωπο με αντικείμενο την εκμετάλλευση χειμερινών ή θερινών κινηματογράφων, με μία ή δύο οθόνες προβολής κινηματογραφικών έργων, που λειτουργούν υπό την ίδια επωνυμία ή/και το σήμα της ίδιας επιχείρησης, σύμφωνα με τον ορισμό των διατάξεων της παρ. 1ε΄ του άρθρου 2 του ν. 3905/2010.</w:t>
      </w:r>
    </w:p>
    <w:p>
      <w:pPr>
        <w:spacing w:before="240" w:after="240"/>
        <w:rPr>
          <w:lang w:val="el" w:eastAsia="el"/>
        </w:rPr>
      </w:pPr>
      <w:r>
        <w:rPr>
          <w:lang w:val="el" w:eastAsia="el"/>
        </w:rPr>
        <w:t>Ειδικότερα, στις περιπτώσεις των προαναφερομένων επιχειρήσεων, ο ειδικός φόρος για την ανάπτυξη της κινηματογραφικής τέχνης, υπολογίζεται επί της τιμής του εισιτηρίου, μετά την αφαίρεση ποσού πενήντα λεπτών του ευρώ (0,50€) για προβολή σε χειμερινή αίθουσα και ενός ευρώ (1€) για προβολή σε θερινή αίθουσα, σύμφωνα με τις κοινοποιούμενες διατάξεις.</w:t>
      </w:r>
    </w:p>
    <w:p>
      <w:pPr>
        <w:spacing w:before="240" w:after="240"/>
        <w:rPr>
          <w:lang w:val="el" w:eastAsia="el"/>
        </w:rPr>
      </w:pPr>
      <w:r>
        <w:rPr>
          <w:lang w:val="el" w:eastAsia="el"/>
        </w:rPr>
        <w:t>Υπενθυμίζεται ότι, ως τιμή του εισιτηρίου, για τον υπολογισμό του ως άνω ειδικού φόρου, λαμβάνεται η δηλούμενη από τους εκμεταλλευτές κινηματογράφου τιμή πώλησης του εισιτηρίου, μετά την αφαίρεση του φόρου προστιθέμενης αξίας.</w:t>
      </w:r>
    </w:p>
    <w:p>
      <w:pPr>
        <w:spacing w:before="240" w:after="240"/>
        <w:rPr>
          <w:lang w:val="el" w:eastAsia="el"/>
        </w:rPr>
      </w:pPr>
      <w:r>
        <w:rPr>
          <w:lang w:val="el" w:eastAsia="el"/>
        </w:rPr>
        <w:t xml:space="preserve">Επισημαίνεται ότι, οι προαναφερθείσες ρυθμίσεις, σε </w:t>
      </w:r>
      <w:r>
        <w:rPr>
          <w:u w:val="single"/>
          <w:lang w:val="el" w:eastAsia="el"/>
        </w:rPr>
        <w:t>καμία περίπτωση,</w:t>
      </w:r>
      <w:r>
        <w:rPr>
          <w:lang w:val="el" w:eastAsia="el"/>
        </w:rPr>
        <w:t xml:space="preserve"> δεν έχουν εφαρμογή ως προς το Φ.Π.Α., επομένως και επί των ποσών των πενήντα λεπτών του ευρώ (0,50€) και του ενός ευρώ (1€), υπολογίζεται Φ.Π.Α.</w:t>
      </w:r>
    </w:p>
    <w:p>
      <w:pPr>
        <w:spacing w:before="240" w:after="240"/>
        <w:rPr>
          <w:lang w:val="el" w:eastAsia="el"/>
        </w:rPr>
      </w:pPr>
      <w:r>
        <w:rPr>
          <w:lang w:val="el" w:eastAsia="el"/>
        </w:rPr>
        <w:t>Υπενθυμίζεται ακόμη ότι, ο ανωτέρω ειδικός φόρος αποδίδεται με δηλώσεις, από τους εκμεταλλευτές κινηματογραφικών αιθουσών, οι οποίες περιλαμβάνουν το σύνολο των εισιτηρίων που εκδόθηκαν από την επιχείρηση εκμετάλλευσης του κινηματογράφου κάθε μήνα και υποβάλλονται στις Δ.Ο.Υ. που είναι αρμόδιες για τη φορολογία εισοδήματος, μέχρι το τέλος του επόμενου μήνα, σύμφωνα με την Απόφαση του Υπουργού Οικονομίας και Οικονομικών 1017995/106/ΠΟΛ 1019/Τ. &amp; Ε.Φ./27.2.2004 ( 456Β΄/5.3.2004).</w:t>
      </w:r>
    </w:p>
    <w:p>
      <w:pPr>
        <w:spacing w:before="240" w:after="240"/>
        <w:rPr>
          <w:lang w:val="el" w:eastAsia="el"/>
        </w:rPr>
      </w:pPr>
      <w:r>
        <w:rPr>
          <w:lang w:val="el" w:eastAsia="el"/>
        </w:rPr>
        <w:t>Οι προαναφερθείσες ρυθμίσεις, ισχύουν, αφού δεν ορίζεται διαφορετικά στις κοινοποιούμενες διατάξεις, από την ημερομηνία δημοσίευσης του νόμου στην Εφημερίδα της Κυβερνήσεως, δηλαδή από 23 Φεβρουαρίου 2012 και εφαρμόζονται για εισιτήρια που εκδίδονται από την ημερομηνία αυτή και μετά.</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Πίνακας Β εκτός του αρ.2 αυτού.</w:t>
      </w:r>
    </w:p>
    <w:p>
      <w:pPr>
        <w:pStyle w:val="StructureList1"/>
        <w:spacing w:before="120" w:after="0"/>
        <w:rPr>
          <w:lang w:val="el" w:eastAsia="el"/>
        </w:rPr>
      </w:pPr>
      <w:r>
        <w:rPr>
          <w:lang w:val="el" w:eastAsia="el"/>
        </w:rPr>
        <w:t>-</w:t>
      </w:r>
      <w:r>
        <w:rPr>
          <w:lang w:val="en" w:eastAsia="en"/>
        </w:rPr>
        <w:tab/>
      </w:r>
      <w:r>
        <w:rPr>
          <w:lang w:val="el" w:eastAsia="el"/>
        </w:rPr>
        <w:t>Οικονομικές Επιθεωρήσεις.</w:t>
      </w:r>
    </w:p>
    <w:p>
      <w:pPr>
        <w:pStyle w:val="StructureList1"/>
        <w:spacing w:before="120" w:after="0"/>
        <w:rPr>
          <w:lang w:val="el" w:eastAsia="el"/>
        </w:rPr>
      </w:pPr>
      <w:r>
        <w:rPr>
          <w:lang w:val="el" w:eastAsia="el"/>
        </w:rPr>
        <w:t>-</w:t>
      </w:r>
      <w:r>
        <w:rPr>
          <w:lang w:val="en" w:eastAsia="en"/>
        </w:rPr>
        <w:tab/>
      </w:r>
      <w:r>
        <w:rPr>
          <w:lang w:val="el" w:eastAsia="el"/>
        </w:rPr>
        <w:t>Περιφερειακές Διευθύνσεις Σ.Δ.Ο.Ε.</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spacing w:before="240" w:after="240"/>
        <w:rPr>
          <w:lang w:val="el" w:eastAsia="el"/>
        </w:rPr>
      </w:pPr>
      <w:r>
        <w:rPr>
          <w:b/>
          <w:bCs/>
          <w:lang w:val="el" w:eastAsia="el"/>
        </w:rPr>
        <w:t>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Υπουργείο Πολιτισμού και Τουρισμού. Γενική Διεύθυνση Σύγχρονου Πολιτισμού. Δ/νση Κινηματογράφου και Οπτικ/κών Μέσων. Μετσόβου 5 106 82 Αθήνα</w:t>
      </w:r>
    </w:p>
    <w:p>
      <w:pPr>
        <w:pStyle w:val="StructureList1"/>
        <w:spacing w:before="120" w:after="0"/>
        <w:rPr>
          <w:lang w:val="el" w:eastAsia="el"/>
        </w:rPr>
      </w:pPr>
      <w:r>
        <w:rPr>
          <w:lang w:val="el" w:eastAsia="el"/>
        </w:rPr>
        <w:t>-</w:t>
      </w:r>
      <w:r>
        <w:rPr>
          <w:lang w:val="en" w:eastAsia="en"/>
        </w:rPr>
        <w:tab/>
      </w:r>
      <w:r>
        <w:rPr>
          <w:lang w:val="el" w:eastAsia="el"/>
        </w:rPr>
        <w:t>Πανελλήνια Ένωση Αιθουσαρχών Κινηματογράφου. Ακαδημίας 96, 106 77 Αθήνα</w:t>
      </w:r>
    </w:p>
    <w:p>
      <w:pPr>
        <w:pStyle w:val="StructureList1"/>
        <w:spacing w:before="120" w:after="0"/>
        <w:rPr>
          <w:lang w:val="el" w:eastAsia="el"/>
        </w:rPr>
      </w:pPr>
      <w:r>
        <w:rPr>
          <w:lang w:val="el" w:eastAsia="el"/>
        </w:rPr>
        <w:t>-</w:t>
      </w:r>
      <w:r>
        <w:rPr>
          <w:lang w:val="en" w:eastAsia="en"/>
        </w:rPr>
        <w:tab/>
      </w:r>
      <w:r>
        <w:rPr>
          <w:lang w:val="el" w:eastAsia="el"/>
        </w:rPr>
        <w:t>Πανελλήνια Ένωση Επαγγελματιών Θερινών Κινηματογράφων. Ακαδημίας 95, 106 77 Αθήνα</w:t>
      </w:r>
    </w:p>
    <w:p>
      <w:pPr>
        <w:pStyle w:val="StructureList1"/>
        <w:spacing w:before="120" w:after="0"/>
        <w:rPr>
          <w:lang w:val="el" w:eastAsia="el"/>
        </w:rPr>
      </w:pPr>
      <w:r>
        <w:rPr>
          <w:lang w:val="el" w:eastAsia="el"/>
        </w:rPr>
        <w:t>-</w:t>
      </w:r>
      <w:r>
        <w:rPr>
          <w:lang w:val="en" w:eastAsia="en"/>
        </w:rPr>
        <w:tab/>
      </w:r>
      <w:r>
        <w:rPr>
          <w:lang w:val="el" w:eastAsia="el"/>
        </w:rPr>
        <w:t>Πανελλήνια Ένωση Αιθουσαρχών- Κινηματογραφιστών. Ακαδημίας 96, 106 77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Γενικού Γραμματέα ΓΓΠΣ.</w:t>
      </w:r>
    </w:p>
    <w:p>
      <w:pPr>
        <w:spacing w:before="240" w:after="240"/>
        <w:rPr>
          <w:lang w:val="el" w:eastAsia="el"/>
        </w:rPr>
      </w:pPr>
      <w:r>
        <w:rPr>
          <w:lang w:val="el" w:eastAsia="el"/>
        </w:rPr>
        <w:t>5. Γραφεία Προϊσταμένων Γενικών Διευθύνσεων:</w:t>
      </w:r>
    </w:p>
    <w:p>
      <w:pPr>
        <w:spacing w:before="240" w:after="240"/>
        <w:rPr>
          <w:lang w:val="el" w:eastAsia="el"/>
        </w:rPr>
      </w:pPr>
      <w:r>
        <w:rPr>
          <w:lang w:val="el" w:eastAsia="el"/>
        </w:rPr>
        <w:t>α). Φορολογίας.</w:t>
      </w:r>
    </w:p>
    <w:p>
      <w:pPr>
        <w:spacing w:before="240" w:after="240"/>
        <w:rPr>
          <w:lang w:val="el" w:eastAsia="el"/>
        </w:rPr>
      </w:pPr>
      <w:r>
        <w:rPr>
          <w:lang w:val="el" w:eastAsia="el"/>
        </w:rPr>
        <w:t>β). Φορολογικών Ελέγχων κ΄ Είσπραξης Δημοσίων Εσόδων γ). Οικονομικής Επιθεώρησης.</w:t>
      </w:r>
    </w:p>
    <w:p>
      <w:pPr>
        <w:spacing w:before="240" w:after="240"/>
        <w:rPr>
          <w:lang w:val="el" w:eastAsia="el"/>
        </w:rPr>
      </w:pPr>
      <w:r>
        <w:rPr>
          <w:lang w:val="el" w:eastAsia="el"/>
        </w:rPr>
        <w:t>7. Όλες τις Φορολογικές Διευθύνσεις και Τμήματα.</w:t>
      </w:r>
    </w:p>
    <w:p>
      <w:pPr>
        <w:spacing w:before="240" w:after="240"/>
        <w:rPr>
          <w:lang w:val="el" w:eastAsia="el"/>
        </w:rPr>
      </w:pPr>
      <w:r>
        <w:rPr>
          <w:lang w:val="el" w:eastAsia="el"/>
        </w:rPr>
        <w:t>8. Γραφείο Τύπου και Δημοσίων Σχέσεων (10 αντίγραφα).</w:t>
      </w:r>
    </w:p>
    <w:p>
      <w:pPr>
        <w:spacing w:before="240" w:after="240"/>
        <w:rPr>
          <w:lang w:val="el" w:eastAsia="el"/>
        </w:rPr>
      </w:pPr>
      <w:r>
        <w:rPr>
          <w:lang w:val="el" w:eastAsia="el"/>
        </w:rPr>
        <w:t>9. Γραφείο Επικοινωνίας και Πληροφόρησης Πολιτών(5).</w:t>
      </w:r>
    </w:p>
    <w:p>
      <w:pPr>
        <w:spacing w:before="240" w:after="240"/>
        <w:rPr>
          <w:lang w:val="el" w:eastAsia="el"/>
        </w:rPr>
      </w:pPr>
      <w:r>
        <w:rPr>
          <w:lang w:val="el" w:eastAsia="el"/>
        </w:rPr>
        <w:t>10. Δ/νση Τελών &amp; Ειδ. Φορολογιών – Τμήμα Α΄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