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ΑΔΑ: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23.4.2014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ΠΟΛ: 1115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ΦΟΡΟΛΟΓΙKΗΣ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 </w:t>
      </w:r>
      <w:r>
        <w:rPr>
          <w:b/>
          <w:bCs/>
          <w:lang w:val="el" w:eastAsia="el"/>
        </w:rPr>
        <w:t>.- 14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Δ/ΝΣΗ ΦΠΑ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 Α΄ &amp; B΄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.- Δ/ΝΣΗ ΒΙΒΛΙΩΝ ΚΑΙ ΣΤΟΙΧΕΙΩΝ (15)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Αντώνιος Α. Σανιδάς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210 - 3645615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Τηλεομοιότυπος: 210 - 3645413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Ηλεκτ. Ταχ/μείο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asanidas@1992.syzefxis.gov.gr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</w:t>
      </w:r>
      <w:r>
        <w:rPr>
          <w:lang w:val="el" w:eastAsia="el"/>
        </w:rPr>
        <w:t>: Περιεχόμενο τιμολογίου κατά την πώληση οχήματος από Έλληνα υποκείμενο στο Φ.Π.Α. προς αγοραστή εγκατεστημένο σε άλλο κράτος - μέλος.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αφορμή προφορικά ερωτήματα που τέθηκαν στην υπηρεσία μας, τόσο από φορολογούμενους όσο και από φορολογικές και τελωνειακές αρχές άλλων κρατών - μελών αναφορικά με την επί του τιμολογίου αναγραφόμενη ένδειξη, σχετικά με το καθεστώς Φ.Π.Α. της πώλησης οχημάτων από ¨Έλληνα υποκείμενο στο ΦΠΑ σε κοινοτικούς πελάτες (υποκείμενους ή μη στο φόρο) και για λόγους διευκόλυνσής τους, διευκρινίζουμε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Επί ενδοκοινοτικής παράδοσης καινούργιου μεταφορικού μέσου αναγράφεται υποχρεωτικά επί του τιμολογίου το εξής κείμενο: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&lt;&lt; απαλλάσσεται από ΦΠΑ - ενδοκοινοτική παράδοση καινούργιου μεταφορικού μέσου, άρθρα 28 και 11 παρ. 4 του κωδ. ΦΠΑ &gt;&gt;.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Εκτός του προαναφερόμενου τυποποιημένου κειμένου αναγράφονται σύμφωνα με τα προβλεπόμενα στην παράγραφο 9 του άρθρου 6 του ΚΦΑΣ και τα κριτήρια χαρακτηρισμού του μεταφορικού μέσου ως καινούργιου σύμφωνα με τα οριζόμενα στην παρ. 4 του άρθρου 11 του κώδικα ΦΠΑ (ν.2859/2000).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Επί ενδοκοινοτικής παράδοσης μεταχειρισμένου μεταφορικού μέσου αναγράφεται υποχρεωτικά το εξής κείμενο: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&lt;&lt; απαλλάσσεται από ΦΠΑ, άρθρο 28 του κωδ. ΦΠΑ &gt;&gt;.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Επί μεταπώλησης μεταχειρισμένου μεταφορικού μέσου σύμφωνα με το καθεστώς του περιθωρίου κέρδους του άρθρου 45 του Κώδικα ΦΠΑ αναγράφεται υποχρεωτικά το εξής κείμενο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&lt;&lt;καθεστώς περιθωρίου-μεταχειρισμένα αγαθά αρθ. 45 του κωδ. ΦΠΑ&gt;&gt;.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Διευκρινίζεται ότι στα φορολογικά στοιχεία που εκδίδει ο υποκείμενος στο φόρο μεταπωλητής για παραδόσεις μεταχειρισμένων οχημάτων στα πλαίσια του ειδικού καθεστώτος του άρθρου 45 του Κώδικα ΦΠΑ δεν αναγράφεται το ποσό του ΦΠΑ που αναλογεί ξεχωριστά, αλλά ο φόρος ενσωματώνεται στην τιμή πώλησης.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ΘΕΟΧΑΡΗΣ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Β, αριθ. 1 και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ΣΤ, μόνο ο αριθ.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Κεντρική Υπηρεσία ΣΔΟΕ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Ηλεκτρονικής Διακυβέρνησης (e-εφαρμογές)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Υπηρεσία TAXISnet, για καταχώρηση στο διαδίκτυο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Α, εκτός του αριθ.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Γ΄ μόνο οι αριθ. 1, 5 και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ΣΤ, μόνο οι αριθ. 1, 2 και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Ζ΄ μόνο οι αριθ. 1 και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Θ, μόνο οι αριθ. 3, 13 και 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ΙΑ, εκτός έμμισθα υποθηκοφυλακεία και κτηματολογικά γραφεία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ΙΒ΄,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ΙΓ΄,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ΙΕ΄,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ΙΣΤ,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Αποδέκτες Πίνακα ΙΖ΄,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Αποδέκτες Πίνακα ΙΗ΄,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Αποδέκτες Πίνακα ΙΘ, εκτός των αριθμών 20, 21, 22, 26, 28, 29, 32, 33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37, 38, 40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Αποδέκτες Πίνακα Κ΄,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Αποδέκτες Πίνακα ΚΑ΄,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Αποδέκτες Πίνακα ΚΒ΄,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Αποδέκτες Πίνακα ΚΓ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Αναπληρώτριας Γενικής Δ/ντριας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Τελωνείων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– Γραφείο Προϊσταμένης Δ/νσης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Τμήματα Α (10), Β(10), Γ(2), Ε(2)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15 Βιβλίων και Στοιχείων (10)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asanidas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