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ΕΞ.ΕΠΕΙΓΟΝ -ΜΕ ΑΠΟΔΕΙΞΗ</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Α.ΓΕΝΙΚΗ ΓΡΑΜΜΑΤΕΙΑ ΔΗΜΟΣΙΩΝ ΕΣΟΔΩΝ</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ΔΙΕΥΘΥΝΣΗ ΠΟΛΙΤΙΚΗΣ ΕΙΣΠΡΑΞΕΩΝ</w:t>
      </w:r>
    </w:p>
    <w:p>
      <w:pPr>
        <w:spacing w:before="240" w:after="240"/>
        <w:rPr>
          <w:lang w:val="el" w:eastAsia="el"/>
        </w:rPr>
      </w:pPr>
      <w:r>
        <w:rPr>
          <w:b/>
          <w:bCs/>
          <w:lang w:val="el" w:eastAsia="el"/>
        </w:rPr>
        <w:t>ΤΜΗΜΑΤΑ Α΄, Δ΄</w:t>
      </w:r>
    </w:p>
    <w:p>
      <w:pPr>
        <w:spacing w:before="240" w:after="240"/>
        <w:rPr>
          <w:lang w:val="el" w:eastAsia="el"/>
        </w:rPr>
      </w:pPr>
      <w:r>
        <w:rPr>
          <w:b/>
          <w:bCs/>
          <w:lang w:val="el" w:eastAsia="el"/>
        </w:rPr>
        <w:t>ΙΙ. Δ/ΝΣΗ ΗΛΕΚΤΡΟΝΙΚΗΣ ΔΙΑΚΥΒΕΡΝΗΣΗΣ</w:t>
      </w:r>
    </w:p>
    <w:p>
      <w:pPr>
        <w:spacing w:before="240" w:after="240"/>
        <w:rPr>
          <w:lang w:val="el" w:eastAsia="el"/>
        </w:rPr>
      </w:pPr>
      <w:r>
        <w:rPr>
          <w:b/>
          <w:bCs/>
          <w:lang w:val="el" w:eastAsia="el"/>
        </w:rPr>
        <w:t>(e-Εφαρμογές)</w:t>
      </w:r>
    </w:p>
    <w:p>
      <w:pPr>
        <w:spacing w:before="240" w:after="240"/>
        <w:rPr>
          <w:lang w:val="el" w:eastAsia="el"/>
        </w:rPr>
      </w:pPr>
      <w:r>
        <w:rPr>
          <w:b/>
          <w:bCs/>
          <w:lang w:val="el" w:eastAsia="el"/>
        </w:rPr>
        <w:t>Β. ΓΕΝΙΚΗ ΓΡΑΜΜΑΤΕΙΑ ΠΛΗΡΟΦΟΡΙΑΚΩΝ</w:t>
      </w:r>
    </w:p>
    <w:p>
      <w:pPr>
        <w:spacing w:before="240" w:after="240"/>
        <w:rPr>
          <w:lang w:val="el" w:eastAsia="el"/>
        </w:rPr>
      </w:pPr>
      <w:r>
        <w:rPr>
          <w:b/>
          <w:bCs/>
          <w:lang w:val="el" w:eastAsia="el"/>
        </w:rPr>
        <w:t>ΣΥΣΤΗΜΑΤΩΝ</w:t>
      </w:r>
    </w:p>
    <w:p>
      <w:pPr>
        <w:spacing w:before="240" w:after="240"/>
        <w:rPr>
          <w:lang w:val="el" w:eastAsia="el"/>
        </w:rPr>
      </w:pPr>
      <w:r>
        <w:rPr>
          <w:b/>
          <w:bCs/>
          <w:lang w:val="el" w:eastAsia="el"/>
        </w:rPr>
        <w:t>ΔΙΕΥΘΥΝΣΗ ΣΧΕΔΙΑΣΜΟΥ &amp; ΑΝΑΠΤΥΞΗΣ</w:t>
      </w:r>
    </w:p>
    <w:p>
      <w:pPr>
        <w:spacing w:before="240" w:after="240"/>
        <w:rPr>
          <w:lang w:val="el" w:eastAsia="el"/>
        </w:rPr>
      </w:pPr>
      <w:r>
        <w:rPr>
          <w:b/>
          <w:bCs/>
          <w:lang w:val="el" w:eastAsia="el"/>
        </w:rPr>
        <w:t>ΕΦΑΡΜΟΓΩΝ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w:t>
      </w:r>
    </w:p>
    <w:p>
      <w:pPr>
        <w:spacing w:before="240" w:after="240"/>
        <w:rPr>
          <w:lang w:val="el" w:eastAsia="el"/>
        </w:rPr>
      </w:pPr>
      <w:r>
        <w:rPr>
          <w:lang w:val="el" w:eastAsia="el"/>
        </w:rPr>
        <w:t>Fax 101 84 ΑΘΗΝΑ 210 33.75.000</w:t>
      </w:r>
    </w:p>
    <w:p>
      <w:pPr>
        <w:spacing w:before="240" w:after="240"/>
        <w:rPr>
          <w:lang w:val="el" w:eastAsia="el"/>
        </w:rPr>
      </w:pPr>
      <w:r>
        <w:rPr>
          <w:lang w:val="el" w:eastAsia="el"/>
        </w:rPr>
        <w:t>210 36.11.752</w:t>
      </w:r>
    </w:p>
    <w:p>
      <w:pPr>
        <w:spacing w:before="240" w:after="240"/>
        <w:rPr>
          <w:lang w:val="el" w:eastAsia="el"/>
        </w:rPr>
      </w:pPr>
      <w:r>
        <w:rPr>
          <w:b/>
          <w:bCs/>
          <w:lang w:val="el" w:eastAsia="el"/>
        </w:rPr>
        <w:t>Θέμα: Συμπλήρωση - Τροποποίηση της ΠΟΛ 1163/03-07-2013 (ΦΕΚ 1675/Β΄/2013) «Όροι και διαδικασία είσπραξης – επιστροφής για την εφαρμογή του ηλεκτρονικού παραβόλου»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29 του ν.3943/2011 (ΦΕΚ 66 Α΄) «Καταπολέμηση της φοροδιαφυγής, στελέχωση των ελεγκτικών υπηρεσιών και άλλες διατάξεις αρμοδιότητας Υπουργείου Οικονομικών».</w:t>
      </w:r>
    </w:p>
    <w:p>
      <w:pPr>
        <w:spacing w:before="240" w:after="240"/>
        <w:rPr>
          <w:lang w:val="el" w:eastAsia="el"/>
        </w:rPr>
      </w:pPr>
      <w:r>
        <w:rPr>
          <w:lang w:val="el" w:eastAsia="el"/>
        </w:rPr>
        <w:t>2. Τις διατάξεις των άρθρων 11, 12, 90 κ. επ. του ν. 2362/1995 (ΦΕΚ 247 Α΄) «Περί Δημοσίου Λογιστικού, ελέγχου των δαπανών του Κράτους και άλλες διατάξεις» , όπως ισχύουν.</w:t>
      </w:r>
    </w:p>
    <w:p>
      <w:pPr>
        <w:spacing w:before="240" w:after="240"/>
        <w:rPr>
          <w:lang w:val="el" w:eastAsia="el"/>
        </w:rPr>
      </w:pPr>
      <w:r>
        <w:rPr>
          <w:lang w:val="el" w:eastAsia="el"/>
        </w:rPr>
        <w:t>3. Τις διατάξεις της παρ. 2 του άρθρου 1 του ν. 1819/1951 (ΦΕΚ 149 Α΄), όπως ισχύουν.</w:t>
      </w:r>
    </w:p>
    <w:p>
      <w:pPr>
        <w:spacing w:before="240" w:after="240"/>
        <w:rPr>
          <w:lang w:val="el" w:eastAsia="el"/>
        </w:rPr>
      </w:pPr>
      <w:r>
        <w:rPr>
          <w:lang w:val="el" w:eastAsia="el"/>
        </w:rPr>
        <w:t>4. Τις διατάξεις του ν.δ. 356/1974 (ΦΕΚ 90 Α') «Περί Κώδικος Εισπράξεως Δημοσίων Εσόδων» , όπως ισχύουν.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Τις διατάξεις της παρ. 14 του άρθρου 17 του ν. 2753/99 (ΦΕΚ 249 Α΄).</w:t>
      </w:r>
    </w:p>
    <w:p>
      <w:pPr>
        <w:spacing w:before="240" w:after="240"/>
        <w:rPr>
          <w:lang w:val="el" w:eastAsia="el"/>
        </w:rPr>
      </w:pPr>
      <w:r>
        <w:rPr>
          <w:lang w:val="el" w:eastAsia="el"/>
        </w:rPr>
        <w:t>7. Το π.δ. 87/2012 (142 Α’), «Διορισμός Υφυπουργών».</w:t>
      </w:r>
    </w:p>
    <w:p>
      <w:pPr>
        <w:spacing w:before="240" w:after="240"/>
        <w:rPr>
          <w:lang w:val="el" w:eastAsia="el"/>
        </w:rPr>
      </w:pPr>
      <w:r>
        <w:rPr>
          <w:lang w:val="el" w:eastAsia="el"/>
        </w:rPr>
        <w:t>8. Την Α.Υ.Ο. ΠΟΛ.1163/03.07.2013 (ΦΕΚ 1675 Β΄) «Όροι και διαδικασία είσπραξης – επιστροφής για την εφαρμογή του ηλεκτρονικού παραβόλου».</w:t>
      </w:r>
    </w:p>
    <w:p>
      <w:pPr>
        <w:spacing w:before="240" w:after="240"/>
        <w:rPr>
          <w:lang w:val="el" w:eastAsia="el"/>
        </w:rPr>
      </w:pPr>
      <w:r>
        <w:rPr>
          <w:lang w:val="el" w:eastAsia="el"/>
        </w:rPr>
        <w:t>9. Την Α.Υ.Ο. Δ5Α 1123655/06-08-2013 (ΦΕΚ 1964 Β΄) «Ανάθεση είσπραξης δημοσίων εσόδων σε Φορείς Είσπραξης, μέσω των υπηρεσιών της εταιρίας Διατραπεζικά Συστήματα Α.Ε. (ΔΙΑΣ Α.Ε.)».</w:t>
      </w:r>
    </w:p>
    <w:p>
      <w:pPr>
        <w:spacing w:before="240" w:after="240"/>
        <w:rPr>
          <w:lang w:val="el" w:eastAsia="el"/>
        </w:rPr>
      </w:pPr>
      <w:r>
        <w:rPr>
          <w:lang w:val="el" w:eastAsia="el"/>
        </w:rPr>
        <w:t>10. Την Α.Υ.Ο</w:t>
      </w:r>
      <w:r>
        <w:rPr>
          <w:rStyle w:val="link"/>
          <w:u w:val="single"/>
          <w:lang w:val="el" w:eastAsia="el"/>
        </w:rPr>
        <w:t>ΠΟΛ.1178/7.12.2010</w:t>
      </w:r>
      <w:r>
        <w:rPr>
          <w:lang w:val="el" w:eastAsia="el"/>
        </w:rPr>
        <w:t>(ΦΕΚ 1916 Β' ) «Εγγραφή νέων χρηστών στις ηλεκτρονικές υπηρεσίες TaxisNet».</w:t>
      </w:r>
    </w:p>
    <w:p>
      <w:pPr>
        <w:spacing w:before="240" w:after="240"/>
        <w:rPr>
          <w:lang w:val="el" w:eastAsia="el"/>
        </w:rPr>
      </w:pPr>
      <w:r>
        <w:rPr>
          <w:lang w:val="el" w:eastAsia="el"/>
        </w:rPr>
        <w:t>11. Την υπ΄αριθμ ΥΠΟΙΚ 07927 ΕΞ/19-9-2012 Απόφαση του Πρωθυπουργού και του Υπουργού Οικονομικών (ΦΕΚ 2574 Β’), «Ανάθεση αρμοδιοτήτων στον Υφυπουργό Οικονομικών Γεώργιο Μαυραγάνη».</w:t>
      </w:r>
    </w:p>
    <w:p>
      <w:pPr>
        <w:spacing w:before="240" w:after="240"/>
        <w:rPr>
          <w:lang w:val="el" w:eastAsia="el"/>
        </w:rPr>
      </w:pPr>
      <w:r>
        <w:rPr>
          <w:lang w:val="el" w:eastAsia="el"/>
        </w:rPr>
        <w:t>12. Την ανάγκη αποσυμφόρησης των Δ.Ο.Υ., πάταξης της γραφειοκρατίας, διευκόλυνσης των φορολογικών συναλλαγών, καθώς και εκπλήρωσης της υποχρέωσης που ορίζεται από τις διατάξεις του εδαφίου 4 της παρ. 2.4 του παραρτήματος V2 του ν. 4046/12 (ΦΕΚ 28 Α΄)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w:t>
      </w:r>
    </w:p>
    <w:p>
      <w:pPr>
        <w:spacing w:before="240" w:after="240"/>
        <w:rPr>
          <w:lang w:val="el" w:eastAsia="el"/>
        </w:rPr>
      </w:pPr>
      <w:r>
        <w:rPr>
          <w:lang w:val="el" w:eastAsia="el"/>
        </w:rPr>
        <w:t>13.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Συμπληρώνουμε - τροποποιούμε την ΠΟΛ. 1163/03-07-2013 (ΦΕΚ 1675 Β΄) ως εξής:</w:t>
      </w:r>
    </w:p>
    <w:p>
      <w:pPr>
        <w:spacing w:before="240" w:after="240"/>
        <w:rPr>
          <w:lang w:val="el" w:eastAsia="el"/>
        </w:rPr>
      </w:pPr>
      <w:r>
        <w:rPr>
          <w:lang w:val="el" w:eastAsia="el"/>
        </w:rPr>
        <w:t>1. Το άρθρο 4 της ΠΟΛ. 1163/03-07-2013 (ΦΕΚ 1675 Β΄) αντικαθίσταται ως εξής:</w:t>
      </w:r>
    </w:p>
    <w:p>
      <w:pPr>
        <w:spacing w:before="240" w:after="240"/>
        <w:rPr>
          <w:lang w:val="el" w:eastAsia="el"/>
        </w:rPr>
      </w:pPr>
      <w:r>
        <w:rPr>
          <w:lang w:val="el" w:eastAsia="el"/>
        </w:rPr>
        <w:t>«Η κατάθεση του e-Παραβόλου από τον ενδιαφερόμενο προς την αρμόδια Υπηρεσία πραγματοποιείται όπως κατά περίπτωση ορίζεται από αυτήν την Υπηρεσία.</w:t>
      </w:r>
    </w:p>
    <w:p>
      <w:pPr>
        <w:spacing w:before="240" w:after="240"/>
        <w:rPr>
          <w:lang w:val="el" w:eastAsia="el"/>
        </w:rPr>
      </w:pPr>
      <w:r>
        <w:rPr>
          <w:lang w:val="el" w:eastAsia="el"/>
        </w:rPr>
        <w:t>Προκειμένου η Υπηρεσία να αποδεχθεί και να ελέγξει την εγκυρότητα του e-Παραβόλου ακολουθείται η παρακάτω διαδικασία:</w:t>
      </w:r>
    </w:p>
    <w:p>
      <w:pPr>
        <w:spacing w:before="240" w:after="240"/>
        <w:rPr>
          <w:lang w:val="el" w:eastAsia="el"/>
        </w:rPr>
      </w:pPr>
      <w:r>
        <w:rPr>
          <w:lang w:val="el" w:eastAsia="el"/>
        </w:rPr>
        <w:t>Ο Δημόσιος Φορέας, αφού πρωτίστως έχει καθορίσει τα είδη των παραβόλων που αποδέχεται, λαμβάνει από το Υπουργείο Οικονομικών, κατόπιν σχετικού του αιτήματος προς τη «Διεύθυνση Σχεδιασμού &amp; Ανάπτυξης Εφαρμογών της Γ.Γ.Π.Σ.» και την «Διεύθυνση Ηλεκτρονικής Διακυβέρνησης (e-εφαρμογές)» της Γενικής Γραμματείας Δημοσίων Εσόδων, κωδικό πρόσβασης στις ηλεκτρονικές υπηρεσίες Taxisnet (σύμφωνα με τα οριζόμενα στην Α.Υ.Ο. ΠΟΛ 1178/07-12-2010, ΑΔΑ:41ΦΜΗ-ΤΛ (ΦΕΚ 1916/Β΄/09-12-10) και δικαίωμα χρήσης της εφαρμογής «e-Παράβολο».</w:t>
      </w:r>
    </w:p>
    <w:p>
      <w:pPr>
        <w:spacing w:before="240" w:after="240"/>
        <w:rPr>
          <w:lang w:val="el" w:eastAsia="el"/>
        </w:rPr>
      </w:pPr>
      <w:r>
        <w:rPr>
          <w:lang w:val="el" w:eastAsia="el"/>
        </w:rPr>
        <w:t>Ακολούθως, ο Δημόσιος Φορέας ορίζει τουλάχιστον δύο υπαλλήλους ως υπεύθυνους Διαχείρισης της εφαρμογής. Ο υπεύθυνος Διαχείρισης της εφαρμογής έχει την αρμοδιότητα να εξουσιοδοτήσει τους υπαλλήλους που αποδέχονται/δεσμεύουν τα e-Παράβολα για λογαριασμό του Δημόσιου Φορέα. Για την ταυτοποίηση των υπαλλήλων που αποδέχονται/δεσμεύουν e-Παράβολα θα χρησιμοποιηθούν οι κωδικοί πρόσβασης (Username και password) που χρησιμοποιεί ο υπάλληλος στο Taxisnet και συνεπώς δεν απαιτείται νέα πιστοποίηση για τους ήδη πιστοποιημένους χρήστες σε οποιαδήποτε ηλεκτρονική υπηρεσία του Taxisnet.</w:t>
      </w:r>
    </w:p>
    <w:p>
      <w:pPr>
        <w:spacing w:before="240" w:after="240"/>
        <w:rPr>
          <w:lang w:val="el" w:eastAsia="el"/>
        </w:rPr>
      </w:pPr>
      <w:r>
        <w:rPr>
          <w:lang w:val="el" w:eastAsia="el"/>
        </w:rPr>
        <w:t>Ο υπάλληλος της Υπηρεσίας που κατατίθεται το e-Παράβολο για να το αποδεχθεί/δεσμεύσει συνδέεται με την εφαρμογή κάνοντας την επιλογή του ρόλου ως εκπρόσωπος φορέα, αναζητά το e-Παράβολο και ελέγχει την εγκυρότητά του.</w:t>
      </w:r>
    </w:p>
    <w:p>
      <w:pPr>
        <w:spacing w:before="240" w:after="240"/>
        <w:rPr>
          <w:lang w:val="el" w:eastAsia="el"/>
        </w:rPr>
      </w:pPr>
      <w:r>
        <w:rPr>
          <w:lang w:val="el" w:eastAsia="el"/>
        </w:rPr>
        <w:t>Για τον έλεγχο εγκυρότητας, η εφαρμογή του e-Παραβόλου διαθέτει οθόνη αναζήτησης, προβολής και διαχείρισης των e-Παραβόλων καθώς και εκτυπώσεις ελέγχου.</w:t>
      </w:r>
    </w:p>
    <w:p>
      <w:pPr>
        <w:spacing w:before="240" w:after="240"/>
        <w:rPr>
          <w:lang w:val="el" w:eastAsia="el"/>
        </w:rPr>
      </w:pPr>
      <w:r>
        <w:rPr>
          <w:lang w:val="el" w:eastAsia="el"/>
        </w:rPr>
        <w:t>Μετά τον σχετικό έλεγχο η Υπηρεσία αποδέχεται το e-Παράβολο και αυτό δεσμεύεται ώστε να αποκλειστεί η εκ νέου χρήση του.</w:t>
      </w:r>
    </w:p>
    <w:p>
      <w:pPr>
        <w:spacing w:before="240" w:after="240"/>
        <w:rPr>
          <w:lang w:val="el" w:eastAsia="el"/>
        </w:rPr>
      </w:pPr>
      <w:r>
        <w:rPr>
          <w:lang w:val="el" w:eastAsia="el"/>
        </w:rPr>
        <w:t>Εναλλακτικά, η σύνδεση της Υπηρεσίας μπορεί να γίνει με την ανάπτυξη διαδικτυακής εφαρμογής από το Δημόσιο Φορέα η οποία θα επικοινωνεί με την ηλεκτρονική εφαρμογή του e-Παραβόλου.»</w:t>
      </w:r>
    </w:p>
    <w:p>
      <w:pPr>
        <w:spacing w:before="240" w:after="240"/>
        <w:rPr>
          <w:lang w:val="el" w:eastAsia="el"/>
        </w:rPr>
      </w:pPr>
      <w:r>
        <w:rPr>
          <w:lang w:val="el" w:eastAsia="el"/>
        </w:rPr>
        <w:t>2. Στην παράγραφο Γ. του άρθρου 5 της ΠΟΛ. 1163/03-07-2013 (ΦΕΚ 1675 Β΄) τα αρχικά των λέξεων «Γ.Γ.Π.Σ.» αντικαθίστανται από τις λέξεις «Διεύθυνση Ηλεκτρονικής Διακυβέρνησης (e-εφαρμογές) της Γενικής Γραμματείας Δημοσίων Εσόδων».</w:t>
      </w:r>
    </w:p>
    <w:p>
      <w:pPr>
        <w:spacing w:before="240" w:after="240"/>
        <w:rPr>
          <w:lang w:val="el" w:eastAsia="el"/>
        </w:rPr>
      </w:pPr>
      <w:r>
        <w:rPr>
          <w:lang w:val="el" w:eastAsia="el"/>
        </w:rPr>
        <w:t>3. Στο τέλος της παραγράφου Γ. του άρθρου 5 της ΠΟΛ. 1163/03-07-2013 (ΦΕΚ 1675 Β΄) προστίθεται νέα παράγραφος Δ.:</w:t>
      </w:r>
    </w:p>
    <w:p>
      <w:pPr>
        <w:spacing w:before="240" w:after="240"/>
        <w:rPr>
          <w:lang w:val="el" w:eastAsia="el"/>
        </w:rPr>
      </w:pPr>
      <w:r>
        <w:rPr>
          <w:b/>
          <w:bCs/>
          <w:lang w:val="el" w:eastAsia="el"/>
        </w:rPr>
        <w:t xml:space="preserve">Δ. </w:t>
      </w:r>
      <w:r>
        <w:rPr>
          <w:lang w:val="el" w:eastAsia="el"/>
        </w:rPr>
        <w:t>Σε περίπτωση που e-Παράβολο έχει εισπραχθεί πέραν της μία φοράς με τον ίδιο κωδικό, τα ποσά επιστρέφονται σύμφωνα με την διαδικασία που περιγράφεται στην παράγραφο Γ.</w:t>
      </w:r>
    </w:p>
    <w:p>
      <w:pPr>
        <w:spacing w:before="240" w:after="240"/>
        <w:rPr>
          <w:lang w:val="el" w:eastAsia="el"/>
        </w:rPr>
      </w:pPr>
      <w:r>
        <w:rPr>
          <w:lang w:val="el" w:eastAsia="el"/>
        </w:rPr>
        <w:t>4. Το άρθρο 6 της ΠΟΛ. 1163/03-07-2013 (ΦΕΚ 1675 Β΄)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Δ/νσεις: Πολιτικής Εισπράξεων, Ηλεκτρονικής Διακυβέρνησης (e-Εφαρμογές), Σχεδιασμού</w:t>
      </w:r>
    </w:p>
    <w:p>
      <w:pPr>
        <w:spacing w:before="240" w:after="240"/>
        <w:rPr>
          <w:lang w:val="el" w:eastAsia="el"/>
        </w:rPr>
      </w:pPr>
      <w:r>
        <w:rPr>
          <w:lang w:val="el" w:eastAsia="el"/>
        </w:rPr>
        <w:t>&amp; Ανάπτυξης Εφαρμογών</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ΑΠΟΔΕΚΤΕΣ ΠΙΝΑΚΩΝ Α΄,Γ΄,Δ΄,Ε΄, ΣΤ΄,Ζ΄,Η΄,ΙΒ’</w:t>
      </w:r>
    </w:p>
    <w:p>
      <w:pPr>
        <w:spacing w:before="240" w:after="240"/>
        <w:rPr>
          <w:lang w:val="el" w:eastAsia="el"/>
        </w:rPr>
      </w:pPr>
      <w:r>
        <w:rPr>
          <w:lang w:val="el" w:eastAsia="el"/>
        </w:rPr>
        <w:t>ΙΙΙ.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5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κ. Υπουργού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κ. Αναπληρωτή Υπουργό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κ. Υφυπουργού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Γραφεία κ.κ. Γενικών Γραμματέων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Γραφεία κ.κ. Ειδικών Γραμματέων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Προϊσταμένους Γενικών Δ/νσεων</w:t>
            </w:r>
          </w:p>
          <w:p>
            <w:pPr>
              <w:spacing w:before="240"/>
              <w:rPr>
                <w:b w:val="0"/>
                <w:bCs w:val="0"/>
                <w:i w:val="0"/>
                <w:iCs w:val="0"/>
                <w:smallCaps w:val="0"/>
                <w:color w:val="000000"/>
                <w:lang w:val="el" w:eastAsia="el"/>
              </w:rPr>
            </w:pPr>
            <w:r>
              <w:rPr>
                <w:b w:val="0"/>
                <w:bCs w:val="0"/>
                <w:i w:val="0"/>
                <w:iCs w:val="0"/>
                <w:smallCaps w:val="0"/>
                <w:color w:val="000000"/>
                <w:lang w:val="el" w:eastAsia="el"/>
              </w:rPr>
              <w:t>Δ/νση Οργάνωσης : Τμήματα Γ, Α, Δ και Β.</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